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C780" w14:textId="381FA3D9" w:rsidR="00016F7F" w:rsidRDefault="00016F7F" w:rsidP="00016F7F">
      <w:pPr>
        <w:pStyle w:val="CoverText"/>
        <w:jc w:val="center"/>
        <w:rPr>
          <w:b/>
          <w:bCs/>
        </w:rPr>
      </w:pPr>
      <w:r w:rsidRPr="00016F7F">
        <w:rPr>
          <w:b/>
          <w:bCs/>
          <w:noProof/>
          <w:u w:val="none"/>
        </w:rPr>
        <w:drawing>
          <wp:inline distT="0" distB="0" distL="0" distR="0" wp14:anchorId="30DD809E" wp14:editId="3B18B920">
            <wp:extent cx="969010" cy="960120"/>
            <wp:effectExtent l="0" t="0" r="2540" b="0"/>
            <wp:docPr id="388467668" name="Picture 1"/>
            <wp:cNvGraphicFramePr/>
            <a:graphic xmlns:a="http://schemas.openxmlformats.org/drawingml/2006/main">
              <a:graphicData uri="http://schemas.openxmlformats.org/drawingml/2006/picture">
                <pic:pic xmlns:pic="http://schemas.openxmlformats.org/drawingml/2006/picture">
                  <pic:nvPicPr>
                    <pic:cNvPr id="38846766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3CFCEAC0" w14:textId="77777777" w:rsidR="00016F7F" w:rsidRDefault="00016F7F" w:rsidP="00016F7F">
      <w:pPr>
        <w:pStyle w:val="CoverText"/>
        <w:jc w:val="center"/>
        <w:rPr>
          <w:b/>
          <w:bCs/>
        </w:rPr>
      </w:pPr>
    </w:p>
    <w:p w14:paraId="14F2EBB3" w14:textId="6353A3DC" w:rsidR="00016F7F" w:rsidRPr="00016F7F" w:rsidRDefault="00016F7F" w:rsidP="00016F7F">
      <w:pPr>
        <w:pStyle w:val="CoverText"/>
        <w:jc w:val="left"/>
        <w:rPr>
          <w:u w:val="none"/>
        </w:rPr>
      </w:pPr>
      <w:r>
        <w:rPr>
          <w:u w:val="none"/>
        </w:rPr>
        <w:t>Neutral Citation Number:</w:t>
      </w:r>
      <w:r w:rsidR="007732A3">
        <w:rPr>
          <w:u w:val="none"/>
        </w:rPr>
        <w:t xml:space="preserve"> </w:t>
      </w:r>
      <w:r>
        <w:rPr>
          <w:u w:val="none"/>
        </w:rPr>
        <w:t>[2026] EWCA Civ 1319</w:t>
      </w:r>
    </w:p>
    <w:p w14:paraId="772325D0" w14:textId="77777777" w:rsidR="00016F7F" w:rsidRDefault="00016F7F" w:rsidP="00016F7F">
      <w:pPr>
        <w:pStyle w:val="CoverText"/>
        <w:jc w:val="center"/>
        <w:rPr>
          <w:b/>
          <w:bCs/>
        </w:rPr>
      </w:pPr>
    </w:p>
    <w:p w14:paraId="3E35DC79" w14:textId="636AC433" w:rsidR="00C439A3" w:rsidRPr="00207C7D" w:rsidRDefault="00CB3966" w:rsidP="00CB3966">
      <w:pPr>
        <w:pStyle w:val="CoverText"/>
        <w:rPr>
          <w:b/>
          <w:bCs/>
          <w:sz w:val="20"/>
          <w:u w:val="none"/>
        </w:rPr>
      </w:pPr>
      <w:r w:rsidRPr="00207C7D">
        <w:rPr>
          <w:b/>
          <w:bCs/>
        </w:rPr>
        <w:t>Case No</w:t>
      </w:r>
      <w:r w:rsidR="00207C7D">
        <w:rPr>
          <w:b/>
          <w:bCs/>
        </w:rPr>
        <w:t>s</w:t>
      </w:r>
      <w:r w:rsidRPr="00207C7D">
        <w:rPr>
          <w:b/>
          <w:bCs/>
        </w:rPr>
        <w:t>: HT-2022-000304</w:t>
      </w:r>
      <w:r w:rsidR="00207C7D">
        <w:rPr>
          <w:b/>
          <w:bCs/>
        </w:rPr>
        <w:t xml:space="preserve"> and</w:t>
      </w:r>
      <w:r w:rsidRPr="00207C7D">
        <w:rPr>
          <w:b/>
          <w:bCs/>
        </w:rPr>
        <w:t xml:space="preserve"> HT-2023-000058</w:t>
      </w:r>
    </w:p>
    <w:p w14:paraId="577C013E" w14:textId="24A523BD" w:rsidR="007A2374" w:rsidRDefault="007A2374">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502A7A59" w14:textId="3AF4AC1F"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4A4798">
        <w:t>CIVIL</w:t>
      </w:r>
      <w:r>
        <w:t xml:space="preserve"> DIVISION)</w:t>
      </w:r>
    </w:p>
    <w:p w14:paraId="15BE405B" w14:textId="2A9C3100" w:rsidR="00E8734D"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r w:rsidR="00EF2547">
        <w:t xml:space="preserve">THE </w:t>
      </w:r>
      <w:r w:rsidR="00EA43C9">
        <w:t>HIGH COURT OF JUSTICE</w:t>
      </w:r>
    </w:p>
    <w:p w14:paraId="1F5E517D" w14:textId="47C983E1" w:rsidR="00981FFB" w:rsidRDefault="00981FFB" w:rsidP="00981FFB">
      <w:pPr>
        <w:spacing w:line="259" w:lineRule="auto"/>
        <w:ind w:left="-5" w:hanging="10"/>
      </w:pPr>
      <w:r>
        <w:rPr>
          <w:b/>
          <w:u w:val="single" w:color="000000"/>
        </w:rPr>
        <w:t xml:space="preserve">BUSINESS AND PROPERTY </w:t>
      </w:r>
      <w:r w:rsidR="00F87413">
        <w:rPr>
          <w:b/>
          <w:u w:val="single" w:color="000000"/>
        </w:rPr>
        <w:t>COURTS OF ENGLAND AND WALES</w:t>
      </w:r>
      <w:r>
        <w:rPr>
          <w:b/>
        </w:rPr>
        <w:t xml:space="preserve"> </w:t>
      </w:r>
    </w:p>
    <w:p w14:paraId="0765B11A" w14:textId="0FEB5BFB" w:rsidR="00981FFB" w:rsidRDefault="00981FFB" w:rsidP="007A2374">
      <w:pPr>
        <w:spacing w:line="259" w:lineRule="auto"/>
        <w:ind w:left="-5" w:hanging="10"/>
      </w:pPr>
      <w:r>
        <w:rPr>
          <w:b/>
          <w:u w:val="single" w:color="000000"/>
        </w:rPr>
        <w:t>TECHNOLOGY AND CONSTRUCTION COURT</w:t>
      </w:r>
      <w:r w:rsidR="00F87413">
        <w:rPr>
          <w:b/>
          <w:u w:val="single" w:color="000000"/>
        </w:rPr>
        <w:t xml:space="preserve"> (KBD)</w:t>
      </w:r>
    </w:p>
    <w:p w14:paraId="7F70DC50" w14:textId="77777777" w:rsidR="007A2374" w:rsidRPr="007A2374" w:rsidRDefault="0085447D" w:rsidP="007A2374">
      <w:pPr>
        <w:spacing w:line="259" w:lineRule="auto"/>
        <w:ind w:left="-5" w:hanging="10"/>
        <w:rPr>
          <w:b/>
        </w:rPr>
      </w:pPr>
      <w:r w:rsidRPr="007A2374">
        <w:rPr>
          <w:b/>
        </w:rPr>
        <w:t>Mr</w:t>
      </w:r>
      <w:r w:rsidR="007A2374" w:rsidRPr="007A2374">
        <w:rPr>
          <w:b/>
        </w:rPr>
        <w:t>s</w:t>
      </w:r>
      <w:r w:rsidRPr="007A2374">
        <w:rPr>
          <w:b/>
        </w:rPr>
        <w:t xml:space="preserve"> Justice </w:t>
      </w:r>
      <w:r w:rsidR="007A2374" w:rsidRPr="007A2374">
        <w:rPr>
          <w:b/>
        </w:rPr>
        <w:t>O’Farrell</w:t>
      </w:r>
    </w:p>
    <w:p w14:paraId="6A0CD476" w14:textId="269D6678" w:rsidR="007A2374" w:rsidRPr="007A2374" w:rsidRDefault="007A2374" w:rsidP="007A2374">
      <w:pPr>
        <w:spacing w:line="259" w:lineRule="auto"/>
        <w:ind w:left="-5" w:hanging="10"/>
        <w:rPr>
          <w:b/>
          <w:bCs/>
        </w:rPr>
      </w:pPr>
      <w:r w:rsidRPr="007A2374">
        <w:rPr>
          <w:b/>
          <w:bCs/>
        </w:rPr>
        <w:t>[2026] EWHC 73 (TCC)</w:t>
      </w:r>
    </w:p>
    <w:p w14:paraId="4731D413" w14:textId="093FB2B3" w:rsidR="0085447D" w:rsidRPr="00FD757F" w:rsidRDefault="0085447D" w:rsidP="007A2374">
      <w:pPr>
        <w:rPr>
          <w:b/>
        </w:rPr>
      </w:pPr>
    </w:p>
    <w:p w14:paraId="7BBCA814" w14:textId="3CFB9933" w:rsidR="00C439A3" w:rsidRDefault="00C439A3" w:rsidP="00DF7302">
      <w:pPr>
        <w:pStyle w:val="CoverText"/>
      </w:pPr>
      <w:r>
        <w:t>Royal Courts of Justice</w:t>
      </w:r>
    </w:p>
    <w:p w14:paraId="0F890394" w14:textId="77777777" w:rsidR="00C439A3" w:rsidRDefault="00C439A3">
      <w:pPr>
        <w:pStyle w:val="CoverText"/>
      </w:pPr>
      <w:r>
        <w:t>Strand, London, WC2A 2LL</w:t>
      </w:r>
    </w:p>
    <w:p w14:paraId="165AED74" w14:textId="77777777" w:rsidR="00C439A3" w:rsidRDefault="00C439A3">
      <w:pPr>
        <w:suppressAutoHyphens/>
        <w:jc w:val="right"/>
        <w:rPr>
          <w:spacing w:val="-3"/>
          <w:u w:val="single"/>
        </w:rPr>
      </w:pPr>
    </w:p>
    <w:p w14:paraId="395446D2" w14:textId="3AAC0F41" w:rsidR="00C439A3" w:rsidRDefault="00C439A3">
      <w:pPr>
        <w:pStyle w:val="CoverText"/>
        <w:rPr>
          <w:b/>
        </w:rPr>
      </w:pPr>
      <w:r>
        <w:t xml:space="preserve">Date: </w:t>
      </w:r>
      <w:r w:rsidR="00016F7F">
        <w:t>16 October 2026</w:t>
      </w:r>
    </w:p>
    <w:p w14:paraId="712DAB4C" w14:textId="7F2DBD66" w:rsidR="00C439A3" w:rsidRDefault="00C439A3">
      <w:pPr>
        <w:suppressAutoHyphens/>
        <w:jc w:val="center"/>
        <w:rPr>
          <w:b/>
          <w:spacing w:val="-3"/>
        </w:rPr>
      </w:pPr>
      <w:r>
        <w:rPr>
          <w:b/>
          <w:spacing w:val="-3"/>
        </w:rPr>
        <w:t>Before:</w:t>
      </w:r>
    </w:p>
    <w:p w14:paraId="0011679E" w14:textId="77777777" w:rsidR="00C439A3" w:rsidRDefault="00C439A3">
      <w:pPr>
        <w:suppressAutoHyphens/>
        <w:jc w:val="center"/>
        <w:rPr>
          <w:spacing w:val="-3"/>
        </w:rPr>
      </w:pPr>
    </w:p>
    <w:p w14:paraId="157022A7" w14:textId="77C2453E" w:rsidR="006A30E5" w:rsidRPr="00E05D58" w:rsidRDefault="006A30E5">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fldChar w:fldCharType="begin">
          <w:ffData>
            <w:name w:val="bkJudge2AddProp"/>
            <w:enabled/>
            <w:calcOnExit w:val="0"/>
            <w:textInput>
              <w:default w:val="SIR GEOFFREY VOS, MASTER OF THE ROLLS"/>
              <w:format w:val="UPPERCASE"/>
            </w:textInput>
          </w:ffData>
        </w:fldChar>
      </w:r>
      <w:bookmarkStart w:id="0" w:name="bkJudge2AddProp"/>
      <w:r>
        <w:instrText xml:space="preserve"> FORMTEXT </w:instrText>
      </w:r>
      <w:r>
        <w:fldChar w:fldCharType="separate"/>
      </w:r>
      <w:r>
        <w:rPr>
          <w:noProof/>
        </w:rPr>
        <w:t>SIR GEOFFREY VOS, MASTER OF THE ROLLS</w:t>
      </w:r>
      <w:r>
        <w:fldChar w:fldCharType="end"/>
      </w:r>
      <w:bookmarkEnd w:id="0"/>
      <w:r w:rsidR="00C439A3">
        <w:br/>
      </w:r>
      <w:r w:rsidR="0064406C">
        <w:t xml:space="preserve">LORD JUSTICE </w:t>
      </w:r>
      <w:r w:rsidR="00882A35">
        <w:t>ZACAROLI</w:t>
      </w:r>
    </w:p>
    <w:p w14:paraId="68F19DB1" w14:textId="75FB4CBD" w:rsidR="00C439A3" w:rsidRDefault="004C0442" w:rsidP="004C044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rPr>
          <w:b w:val="0"/>
          <w:bCs/>
          <w:u w:val="none"/>
        </w:rPr>
        <w:t>a</w:t>
      </w:r>
      <w:r w:rsidR="00C439A3">
        <w:rPr>
          <w:b w:val="0"/>
          <w:bCs/>
          <w:u w:val="none"/>
        </w:rPr>
        <w:t>nd</w:t>
      </w:r>
    </w:p>
    <w:p w14:paraId="2E7F907B" w14:textId="159FA1E9" w:rsidR="004C0442" w:rsidRDefault="00C56108" w:rsidP="004C044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w:t>
      </w:r>
      <w:r w:rsidR="001E2B8B">
        <w:t>ADY</w:t>
      </w:r>
      <w:r>
        <w:t xml:space="preserve"> JUSTICE </w:t>
      </w:r>
      <w:r w:rsidR="005F03AD">
        <w:t>COCKERILL</w:t>
      </w:r>
    </w:p>
    <w:p w14:paraId="62A01320" w14:textId="77777777" w:rsidR="002B5B57" w:rsidRDefault="002B5B57">
      <w:pPr>
        <w:suppressAutoHyphens/>
        <w:jc w:val="center"/>
        <w:rPr>
          <w:spacing w:val="-3"/>
        </w:rPr>
      </w:pPr>
    </w:p>
    <w:p w14:paraId="183B9008" w14:textId="36E74DCA" w:rsidR="00C439A3" w:rsidRDefault="00C439A3">
      <w:pPr>
        <w:suppressAutoHyphens/>
        <w:jc w:val="center"/>
        <w:rPr>
          <w:spacing w:val="-3"/>
        </w:rPr>
      </w:pPr>
      <w:r>
        <w:rPr>
          <w:spacing w:val="-3"/>
        </w:rPr>
        <w:t>- - - - - - - - - - - - - - - - - - - - -</w:t>
      </w:r>
    </w:p>
    <w:p w14:paraId="2DF0C0C4" w14:textId="77777777" w:rsidR="002C4546" w:rsidRPr="002C4546" w:rsidRDefault="002C4546" w:rsidP="002C4546">
      <w:pPr>
        <w:spacing w:after="21"/>
        <w:ind w:left="-5" w:hanging="10"/>
        <w:rPr>
          <w:b/>
        </w:rPr>
      </w:pPr>
      <w:r w:rsidRPr="002C4546">
        <w:rPr>
          <w:b/>
        </w:rPr>
        <w:t>BETWEEN:</w:t>
      </w:r>
    </w:p>
    <w:p w14:paraId="3A53E04A" w14:textId="7F5477C1" w:rsidR="002C4546" w:rsidRPr="002C4546" w:rsidRDefault="002C4546" w:rsidP="002C4546">
      <w:pPr>
        <w:spacing w:after="21"/>
        <w:ind w:left="-5" w:hanging="10"/>
        <w:jc w:val="center"/>
      </w:pPr>
      <w:r w:rsidRPr="002C4546">
        <w:rPr>
          <w:b/>
        </w:rPr>
        <w:t>MUNICÍPIO DE MARIANA</w:t>
      </w:r>
    </w:p>
    <w:p w14:paraId="3ED04DA6" w14:textId="78A77E5F" w:rsidR="002C4546" w:rsidRPr="002C4546" w:rsidRDefault="002C4546" w:rsidP="002C4546">
      <w:pPr>
        <w:ind w:left="10" w:right="60" w:hanging="10"/>
        <w:jc w:val="center"/>
      </w:pPr>
      <w:r>
        <w:rPr>
          <w:b/>
        </w:rPr>
        <w:t>a</w:t>
      </w:r>
      <w:r w:rsidRPr="002C4546">
        <w:rPr>
          <w:b/>
        </w:rPr>
        <w:t xml:space="preserve">nd the Claimants identified in the Schedules to the Claim Forms </w:t>
      </w:r>
    </w:p>
    <w:p w14:paraId="583FC02E" w14:textId="0571FF6B" w:rsidR="002C4546" w:rsidRPr="002C4546" w:rsidRDefault="002C4546" w:rsidP="002C4546">
      <w:pPr>
        <w:ind w:left="4251" w:right="40" w:firstLine="2400"/>
      </w:pPr>
      <w:r w:rsidRPr="002C4546">
        <w:rPr>
          <w:b/>
          <w:u w:val="single" w:color="000000"/>
        </w:rPr>
        <w:t>Claimants/Respondent</w:t>
      </w:r>
      <w:r w:rsidRPr="002C4546">
        <w:rPr>
          <w:b/>
        </w:rPr>
        <w:t xml:space="preserve"> -and-</w:t>
      </w:r>
    </w:p>
    <w:p w14:paraId="7B20B388" w14:textId="77777777" w:rsidR="0003095A" w:rsidRPr="0003095A" w:rsidRDefault="0003095A" w:rsidP="0003095A">
      <w:pPr>
        <w:ind w:right="54"/>
      </w:pPr>
    </w:p>
    <w:p w14:paraId="20BC8D9D" w14:textId="5BEEE6CC" w:rsidR="002C4546" w:rsidRPr="0003095A" w:rsidRDefault="002C4546" w:rsidP="00BE644F">
      <w:pPr>
        <w:pStyle w:val="ListParagraph"/>
        <w:numPr>
          <w:ilvl w:val="0"/>
          <w:numId w:val="44"/>
        </w:numPr>
        <w:ind w:right="54"/>
        <w:jc w:val="center"/>
      </w:pPr>
      <w:r w:rsidRPr="00BE644F">
        <w:rPr>
          <w:b/>
        </w:rPr>
        <w:t>BHP GROUP (UK) LTD</w:t>
      </w:r>
    </w:p>
    <w:p w14:paraId="7C917EE6" w14:textId="77777777" w:rsidR="002C4546" w:rsidRPr="0003095A" w:rsidRDefault="002C4546" w:rsidP="002C4546">
      <w:pPr>
        <w:ind w:left="10" w:right="60" w:hanging="10"/>
        <w:jc w:val="center"/>
      </w:pPr>
      <w:r w:rsidRPr="0003095A">
        <w:rPr>
          <w:b/>
        </w:rPr>
        <w:t xml:space="preserve">(formerly BHP BILLITON PLC and thereafter BHP GROUP PLC) </w:t>
      </w:r>
    </w:p>
    <w:p w14:paraId="74BE269A" w14:textId="5FF0A2C3" w:rsidR="002C4546" w:rsidRPr="0003095A" w:rsidRDefault="002C4546" w:rsidP="00BE644F">
      <w:pPr>
        <w:pStyle w:val="ListParagraph"/>
        <w:numPr>
          <w:ilvl w:val="0"/>
          <w:numId w:val="44"/>
        </w:numPr>
        <w:ind w:right="54"/>
        <w:jc w:val="center"/>
      </w:pPr>
      <w:r w:rsidRPr="00BE644F">
        <w:rPr>
          <w:b/>
        </w:rPr>
        <w:t>BHP GROUP LIMITED</w:t>
      </w:r>
    </w:p>
    <w:p w14:paraId="348AAEA0" w14:textId="3DDBD543" w:rsidR="002A3CCB" w:rsidRPr="001717FC" w:rsidRDefault="002C4546" w:rsidP="0003095A">
      <w:pPr>
        <w:suppressAutoHyphens/>
        <w:jc w:val="right"/>
        <w:rPr>
          <w:b/>
          <w:spacing w:val="-3"/>
        </w:rPr>
      </w:pPr>
      <w:r>
        <w:rPr>
          <w:b/>
          <w:u w:val="single" w:color="000000"/>
        </w:rPr>
        <w:t>Defendants/Appellants</w:t>
      </w:r>
    </w:p>
    <w:p w14:paraId="0B7E376E" w14:textId="77777777" w:rsidR="00735C97" w:rsidRDefault="00735C97" w:rsidP="001717FC">
      <w:pPr>
        <w:spacing w:line="259" w:lineRule="auto"/>
        <w:rPr>
          <w:b/>
        </w:rPr>
      </w:pPr>
    </w:p>
    <w:p w14:paraId="04034069" w14:textId="77777777" w:rsidR="00BE644F" w:rsidRDefault="00BE644F" w:rsidP="0088372F">
      <w:pPr>
        <w:spacing w:after="10"/>
        <w:jc w:val="both"/>
        <w:rPr>
          <w:b/>
        </w:rPr>
      </w:pPr>
    </w:p>
    <w:p w14:paraId="3D12C6A0" w14:textId="52E912CB" w:rsidR="0088372F" w:rsidRDefault="00BE2C88" w:rsidP="0088372F">
      <w:pPr>
        <w:spacing w:after="10"/>
        <w:jc w:val="both"/>
        <w:rPr>
          <w:bCs/>
        </w:rPr>
      </w:pPr>
      <w:r>
        <w:rPr>
          <w:b/>
        </w:rPr>
        <w:t>Nicholas Sloboda KC</w:t>
      </w:r>
      <w:r w:rsidR="00F87413">
        <w:rPr>
          <w:b/>
        </w:rPr>
        <w:t xml:space="preserve"> and</w:t>
      </w:r>
      <w:r w:rsidR="005841CD">
        <w:rPr>
          <w:b/>
        </w:rPr>
        <w:t xml:space="preserve"> Jade Fowler</w:t>
      </w:r>
      <w:r>
        <w:rPr>
          <w:b/>
        </w:rPr>
        <w:t xml:space="preserve"> </w:t>
      </w:r>
      <w:r>
        <w:t>(instructed by</w:t>
      </w:r>
      <w:r w:rsidR="004B0CAD">
        <w:t xml:space="preserve"> </w:t>
      </w:r>
      <w:r w:rsidR="004B0CAD">
        <w:rPr>
          <w:b/>
          <w:bCs/>
        </w:rPr>
        <w:t>Herbert Smith Freehills Kramer LLP</w:t>
      </w:r>
      <w:r>
        <w:t xml:space="preserve">) for the </w:t>
      </w:r>
      <w:r w:rsidRPr="00A85FE6">
        <w:rPr>
          <w:b/>
          <w:bCs/>
        </w:rPr>
        <w:t>Appellants/</w:t>
      </w:r>
      <w:r>
        <w:rPr>
          <w:b/>
        </w:rPr>
        <w:t>Defendants</w:t>
      </w:r>
      <w:r w:rsidR="00C260B0">
        <w:rPr>
          <w:bCs/>
        </w:rPr>
        <w:t xml:space="preserve"> (</w:t>
      </w:r>
      <w:r w:rsidR="00CB54A6">
        <w:rPr>
          <w:bCs/>
        </w:rPr>
        <w:t>BHP</w:t>
      </w:r>
      <w:r w:rsidR="00C260B0">
        <w:rPr>
          <w:bCs/>
        </w:rPr>
        <w:t>)</w:t>
      </w:r>
    </w:p>
    <w:p w14:paraId="7A767F63" w14:textId="77777777" w:rsidR="0088372F" w:rsidRDefault="0088372F" w:rsidP="0088372F">
      <w:pPr>
        <w:spacing w:after="10"/>
        <w:jc w:val="both"/>
        <w:rPr>
          <w:bCs/>
        </w:rPr>
      </w:pPr>
    </w:p>
    <w:p w14:paraId="5A73F66C" w14:textId="1CABC0E1" w:rsidR="006C289B" w:rsidRPr="00C260B0" w:rsidRDefault="0095673E" w:rsidP="0088372F">
      <w:pPr>
        <w:spacing w:after="10"/>
        <w:jc w:val="both"/>
        <w:rPr>
          <w:bCs/>
        </w:rPr>
      </w:pPr>
      <w:r w:rsidRPr="0095673E">
        <w:rPr>
          <w:b/>
          <w:bCs/>
        </w:rPr>
        <w:t xml:space="preserve">Roger Mallalieu KC </w:t>
      </w:r>
      <w:r w:rsidR="006C289B">
        <w:t>(instructed by</w:t>
      </w:r>
      <w:r w:rsidR="006C289B">
        <w:rPr>
          <w:b/>
        </w:rPr>
        <w:t xml:space="preserve"> PGMBM LAW LTD t/a Pogust Goodhead</w:t>
      </w:r>
      <w:r w:rsidR="006C289B">
        <w:t xml:space="preserve">) for the </w:t>
      </w:r>
      <w:r w:rsidR="006C289B">
        <w:rPr>
          <w:b/>
        </w:rPr>
        <w:t>Claimants</w:t>
      </w:r>
      <w:r w:rsidR="00C260B0">
        <w:rPr>
          <w:b/>
        </w:rPr>
        <w:t>/Respondents</w:t>
      </w:r>
      <w:r w:rsidR="00C260B0">
        <w:rPr>
          <w:bCs/>
        </w:rPr>
        <w:t xml:space="preserve"> (</w:t>
      </w:r>
      <w:r w:rsidR="00CB54A6">
        <w:rPr>
          <w:bCs/>
        </w:rPr>
        <w:t>the claimants</w:t>
      </w:r>
      <w:r w:rsidR="00C260B0">
        <w:rPr>
          <w:bCs/>
        </w:rPr>
        <w:t>)</w:t>
      </w:r>
    </w:p>
    <w:p w14:paraId="6F2CAEC1" w14:textId="77777777" w:rsidR="0094147E" w:rsidRDefault="0094147E">
      <w:pPr>
        <w:suppressAutoHyphens/>
        <w:jc w:val="center"/>
        <w:rPr>
          <w:spacing w:val="-3"/>
        </w:rPr>
      </w:pPr>
    </w:p>
    <w:p w14:paraId="2B7CAF12" w14:textId="7A8A0E57" w:rsidR="00C439A3" w:rsidRDefault="00C439A3">
      <w:pPr>
        <w:suppressAutoHyphens/>
        <w:jc w:val="center"/>
        <w:rPr>
          <w:spacing w:val="-3"/>
        </w:rPr>
      </w:pPr>
      <w:r>
        <w:rPr>
          <w:spacing w:val="-3"/>
        </w:rPr>
        <w:t>Hearing date:</w:t>
      </w:r>
      <w:r w:rsidR="0024656A">
        <w:rPr>
          <w:spacing w:val="-3"/>
        </w:rPr>
        <w:t xml:space="preserve"> </w:t>
      </w:r>
      <w:r w:rsidR="005329F0">
        <w:rPr>
          <w:spacing w:val="-3"/>
        </w:rPr>
        <w:t>6</w:t>
      </w:r>
      <w:r w:rsidR="00BE644F">
        <w:rPr>
          <w:spacing w:val="-3"/>
        </w:rPr>
        <w:t xml:space="preserve"> October 2026</w:t>
      </w:r>
    </w:p>
    <w:p w14:paraId="69550EAB" w14:textId="77777777" w:rsidR="00C439A3" w:rsidRDefault="00C439A3">
      <w:pPr>
        <w:suppressAutoHyphens/>
        <w:jc w:val="center"/>
        <w:rPr>
          <w:spacing w:val="-3"/>
        </w:rPr>
      </w:pPr>
      <w:r>
        <w:rPr>
          <w:spacing w:val="-3"/>
        </w:rPr>
        <w:t>- - - - - - - - - - - - - - - - - - - - -</w:t>
      </w:r>
    </w:p>
    <w:p w14:paraId="14D9A1F9" w14:textId="77777777" w:rsidR="00F50AFF" w:rsidRDefault="00C439A3" w:rsidP="0016347A">
      <w:pPr>
        <w:pStyle w:val="CoverDesc"/>
      </w:pPr>
      <w:r>
        <w:t>JUDGMENT</w:t>
      </w:r>
      <w:bookmarkStart w:id="1" w:name="bkCACaveat3"/>
      <w:bookmarkEnd w:id="1"/>
    </w:p>
    <w:p w14:paraId="4CFD1858" w14:textId="19A900BA" w:rsidR="00016F7F" w:rsidRPr="00016F7F" w:rsidRDefault="00016F7F" w:rsidP="0016347A">
      <w:pPr>
        <w:pStyle w:val="CoverDesc"/>
        <w:rPr>
          <w:b w:val="0"/>
          <w:bCs/>
          <w:sz w:val="24"/>
          <w:szCs w:val="24"/>
        </w:rPr>
        <w:sectPr w:rsidR="00016F7F" w:rsidRPr="00016F7F">
          <w:headerReference w:type="even" r:id="rId9"/>
          <w:headerReference w:type="default" r:id="rId10"/>
          <w:footerReference w:type="even" r:id="rId11"/>
          <w:footerReference w:type="default" r:id="rId12"/>
          <w:headerReference w:type="first" r:id="rId13"/>
          <w:footerReference w:type="first" r:id="rId14"/>
          <w:pgSz w:w="11909" w:h="16834" w:code="9"/>
          <w:pgMar w:top="720" w:right="1440" w:bottom="720" w:left="1440" w:header="720" w:footer="720" w:gutter="0"/>
          <w:pgNumType w:start="1"/>
          <w:cols w:space="720"/>
        </w:sectPr>
      </w:pPr>
      <w:r w:rsidRPr="00016F7F">
        <w:rPr>
          <w:b w:val="0"/>
          <w:bCs/>
          <w:sz w:val="24"/>
          <w:szCs w:val="24"/>
        </w:rPr>
        <w:t>This</w:t>
      </w:r>
      <w:r>
        <w:rPr>
          <w:b w:val="0"/>
          <w:bCs/>
          <w:sz w:val="24"/>
          <w:szCs w:val="24"/>
        </w:rPr>
        <w:t xml:space="preserve"> judgment was handed down remotely at 10:00am on 16 October 2026 by circulation to the parties or their representatives by e-mail and by release to the National Archives.</w:t>
      </w:r>
      <w:r w:rsidRPr="00016F7F">
        <w:rPr>
          <w:b w:val="0"/>
          <w:bCs/>
          <w:sz w:val="24"/>
          <w:szCs w:val="24"/>
        </w:rPr>
        <w:t xml:space="preserve"> </w:t>
      </w:r>
    </w:p>
    <w:p w14:paraId="249BC99A" w14:textId="4A515BE6" w:rsidR="00C439A3" w:rsidRDefault="00C439A3">
      <w:pPr>
        <w:spacing w:after="240"/>
        <w:sectPr w:rsidR="00C439A3">
          <w:headerReference w:type="default" r:id="rId15"/>
          <w:footerReference w:type="default" r:id="rId16"/>
          <w:pgSz w:w="11906" w:h="16838" w:code="9"/>
          <w:pgMar w:top="1440" w:right="1440" w:bottom="1440" w:left="1440" w:header="709" w:footer="709" w:gutter="0"/>
          <w:cols w:space="708"/>
          <w:docGrid w:linePitch="360"/>
        </w:sectPr>
      </w:pPr>
      <w:r>
        <w:rPr>
          <w:b/>
        </w:rPr>
        <w:lastRenderedPageBreak/>
        <w:fldChar w:fldCharType="begin">
          <w:ffData>
            <w:name w:val="bkJudgeHeaderSave"/>
            <w:enabled/>
            <w:calcOnExit w:val="0"/>
            <w:textInput>
              <w:default w:val="Insert Judge name and Title here"/>
            </w:textInput>
          </w:ffData>
        </w:fldChar>
      </w:r>
      <w:bookmarkStart w:id="2" w:name="bkJudgeHeaderSave"/>
      <w:r>
        <w:rPr>
          <w:b/>
        </w:rPr>
        <w:instrText xml:space="preserve"> FORMTEXT </w:instrText>
      </w:r>
      <w:r>
        <w:rPr>
          <w:b/>
        </w:rPr>
      </w:r>
      <w:r>
        <w:rPr>
          <w:b/>
        </w:rPr>
        <w:fldChar w:fldCharType="separate"/>
      </w:r>
      <w:r w:rsidR="004A4798">
        <w:rPr>
          <w:b/>
        </w:rPr>
        <w:t>SIR GEOFFREY VOS, MASTER OF THE ROLLS</w:t>
      </w:r>
      <w:r>
        <w:rPr>
          <w:b/>
        </w:rPr>
        <w:fldChar w:fldCharType="end"/>
      </w:r>
      <w:bookmarkEnd w:id="2"/>
      <w:r>
        <w:rPr>
          <w:b/>
        </w:rPr>
        <w:t>:</w:t>
      </w:r>
      <w:r>
        <w:t xml:space="preserve"> </w:t>
      </w:r>
    </w:p>
    <w:p w14:paraId="0D8D11E9" w14:textId="5CA7245D" w:rsidR="00C951D1" w:rsidRPr="00B06FC7" w:rsidRDefault="00B06FC7" w:rsidP="00016F7F">
      <w:pPr>
        <w:pStyle w:val="ParaLevel1"/>
        <w:numPr>
          <w:ilvl w:val="0"/>
          <w:numId w:val="0"/>
        </w:numPr>
        <w:ind w:left="720" w:hanging="720"/>
        <w:rPr>
          <w:u w:val="single"/>
        </w:rPr>
      </w:pPr>
      <w:r>
        <w:rPr>
          <w:u w:val="single"/>
        </w:rPr>
        <w:t>Introduction</w:t>
      </w:r>
    </w:p>
    <w:p w14:paraId="1562E7C4" w14:textId="74482C2D" w:rsidR="001855D5" w:rsidRDefault="007F5BB5" w:rsidP="00016F7F">
      <w:pPr>
        <w:pStyle w:val="ParaLevel1"/>
      </w:pPr>
      <w:r>
        <w:t>T</w:t>
      </w:r>
      <w:r w:rsidR="000C5C1F">
        <w:t xml:space="preserve">his case concerns the circumstances in which </w:t>
      </w:r>
      <w:r w:rsidR="00C41776">
        <w:t>the court</w:t>
      </w:r>
      <w:r w:rsidR="00C41776" w:rsidRPr="002A1FB4">
        <w:t xml:space="preserve"> may make </w:t>
      </w:r>
      <w:r w:rsidR="00C41776">
        <w:t xml:space="preserve">an order for interest </w:t>
      </w:r>
      <w:r w:rsidR="00CB3751">
        <w:t xml:space="preserve">on an award of </w:t>
      </w:r>
      <w:r w:rsidR="009C7FE2">
        <w:t>costs under CPR Part 44.2(6)(g)</w:t>
      </w:r>
      <w:r w:rsidR="003642A4">
        <w:t xml:space="preserve">. </w:t>
      </w:r>
      <w:r w:rsidR="00ED6EFF">
        <w:t xml:space="preserve">It is part of long-running </w:t>
      </w:r>
      <w:r w:rsidR="0057521D" w:rsidRPr="00480EE7">
        <w:t xml:space="preserve">proceedings </w:t>
      </w:r>
      <w:r w:rsidR="0057521D">
        <w:t>concerning</w:t>
      </w:r>
      <w:r w:rsidR="0057521D" w:rsidRPr="00480EE7">
        <w:t xml:space="preserve"> the </w:t>
      </w:r>
      <w:r w:rsidR="0057521D">
        <w:t>c</w:t>
      </w:r>
      <w:r w:rsidR="0057521D" w:rsidRPr="00480EE7">
        <w:t>ollapse of the Fundão Dam</w:t>
      </w:r>
      <w:r w:rsidR="00E8121D">
        <w:t xml:space="preserve"> </w:t>
      </w:r>
      <w:r w:rsidR="0057521D" w:rsidRPr="00480EE7">
        <w:t>in Brazil</w:t>
      </w:r>
      <w:r w:rsidR="00E8121D">
        <w:t xml:space="preserve"> (the Dam)</w:t>
      </w:r>
      <w:r w:rsidR="0057521D" w:rsidRPr="00480EE7">
        <w:t xml:space="preserve"> in November 2015. </w:t>
      </w:r>
      <w:r w:rsidR="00004536">
        <w:t>The</w:t>
      </w:r>
      <w:r w:rsidR="0046456E">
        <w:t xml:space="preserve">re are some </w:t>
      </w:r>
      <w:r w:rsidR="00DF720E">
        <w:t>450,000</w:t>
      </w:r>
      <w:r w:rsidR="00004536">
        <w:t xml:space="preserve"> claimants</w:t>
      </w:r>
      <w:r w:rsidR="0046456E">
        <w:t xml:space="preserve">. They </w:t>
      </w:r>
      <w:r w:rsidR="00004536">
        <w:t>are</w:t>
      </w:r>
      <w:r w:rsidR="0057521D" w:rsidRPr="00480EE7">
        <w:t xml:space="preserve"> individuals, businesses, municipalities, utilities and other entities claim</w:t>
      </w:r>
      <w:r w:rsidR="00C47214">
        <w:t>ing</w:t>
      </w:r>
      <w:r w:rsidR="0057521D" w:rsidRPr="00480EE7">
        <w:t xml:space="preserve"> compensation</w:t>
      </w:r>
      <w:r w:rsidR="006F186D">
        <w:t xml:space="preserve"> from BHP</w:t>
      </w:r>
      <w:r w:rsidR="0057521D" w:rsidRPr="00480EE7">
        <w:t xml:space="preserve"> </w:t>
      </w:r>
      <w:r w:rsidR="00004536">
        <w:t xml:space="preserve">for losses </w:t>
      </w:r>
      <w:r w:rsidR="00E8121D">
        <w:t>allegedly caused by the collapse of the Dam.</w:t>
      </w:r>
    </w:p>
    <w:p w14:paraId="70285CB9" w14:textId="48B0B368" w:rsidR="0057521D" w:rsidRDefault="001855D5" w:rsidP="00016F7F">
      <w:pPr>
        <w:pStyle w:val="ParaLevel1"/>
      </w:pPr>
      <w:r>
        <w:t>Mrs Justice O’Farrell (the judge) made an order on 26</w:t>
      </w:r>
      <w:r w:rsidR="00E8607F">
        <w:t xml:space="preserve"> January 2026 after </w:t>
      </w:r>
      <w:r w:rsidR="006771A3">
        <w:t>a Stage 1</w:t>
      </w:r>
      <w:r w:rsidR="00E8607F">
        <w:t xml:space="preserve"> trial</w:t>
      </w:r>
      <w:r w:rsidR="003864E9">
        <w:t xml:space="preserve"> lasting some </w:t>
      </w:r>
      <w:r w:rsidR="007523FB">
        <w:t xml:space="preserve">5 months between October 2024 </w:t>
      </w:r>
      <w:r w:rsidR="00804A4E">
        <w:t>and March 2025</w:t>
      </w:r>
      <w:r w:rsidR="00E8607F">
        <w:t xml:space="preserve">. </w:t>
      </w:r>
      <w:r w:rsidR="00804A4E">
        <w:t>The judge d</w:t>
      </w:r>
      <w:r w:rsidR="00E8607F">
        <w:t>ecided that</w:t>
      </w:r>
      <w:r w:rsidR="00690ECB">
        <w:t>:</w:t>
      </w:r>
      <w:r w:rsidR="00E8607F">
        <w:t xml:space="preserve"> </w:t>
      </w:r>
      <w:r w:rsidR="00804A4E">
        <w:t xml:space="preserve">(i) </w:t>
      </w:r>
      <w:r w:rsidR="0057521D" w:rsidRPr="00480EE7">
        <w:t xml:space="preserve">BHP were strictly liable as polluters </w:t>
      </w:r>
      <w:r w:rsidR="002F1BDE">
        <w:t>under</w:t>
      </w:r>
      <w:r w:rsidR="0057521D" w:rsidRPr="00480EE7">
        <w:t xml:space="preserve"> </w:t>
      </w:r>
      <w:r w:rsidR="007949B1">
        <w:t xml:space="preserve">the </w:t>
      </w:r>
      <w:r w:rsidR="0057521D" w:rsidRPr="00480EE7">
        <w:t xml:space="preserve">Brazilian </w:t>
      </w:r>
      <w:r w:rsidR="007949B1">
        <w:t>E</w:t>
      </w:r>
      <w:r w:rsidR="0057521D" w:rsidRPr="00480EE7">
        <w:t xml:space="preserve">nvironmental </w:t>
      </w:r>
      <w:r w:rsidR="007949B1">
        <w:t>L</w:t>
      </w:r>
      <w:r w:rsidR="0057521D" w:rsidRPr="00480EE7">
        <w:t>aw</w:t>
      </w:r>
      <w:r w:rsidR="00932745">
        <w:t xml:space="preserve">, (ii) BHP were, </w:t>
      </w:r>
      <w:r w:rsidR="0057521D" w:rsidRPr="00480EE7">
        <w:t>alternatively</w:t>
      </w:r>
      <w:r w:rsidR="00932745">
        <w:t>,</w:t>
      </w:r>
      <w:r w:rsidR="0057521D" w:rsidRPr="00480EE7">
        <w:t xml:space="preserve"> </w:t>
      </w:r>
      <w:r w:rsidR="00932745">
        <w:t>liable as having been at fault u</w:t>
      </w:r>
      <w:r w:rsidR="0057521D" w:rsidRPr="00480EE7">
        <w:t xml:space="preserve">nder </w:t>
      </w:r>
      <w:r w:rsidR="002C09DD">
        <w:t>a</w:t>
      </w:r>
      <w:r w:rsidR="0057521D" w:rsidRPr="00480EE7">
        <w:t>rticle 186 of the Brazilian Civil Code</w:t>
      </w:r>
      <w:r w:rsidR="00932745">
        <w:t xml:space="preserve">, </w:t>
      </w:r>
      <w:r w:rsidR="0056286A">
        <w:t xml:space="preserve">and </w:t>
      </w:r>
      <w:r w:rsidR="00932745">
        <w:t>(iii) the claims were not time-barred</w:t>
      </w:r>
      <w:r w:rsidR="0056286A">
        <w:t>.</w:t>
      </w:r>
      <w:r w:rsidR="00690ECB">
        <w:t xml:space="preserve"> Both the judge and the Court of Appeal have refused permission to appeal these substantive decisions.</w:t>
      </w:r>
    </w:p>
    <w:p w14:paraId="0F928E85" w14:textId="77693B42" w:rsidR="005D488B" w:rsidRDefault="00690ECB" w:rsidP="00016F7F">
      <w:pPr>
        <w:pStyle w:val="ParaLevel1"/>
      </w:pPr>
      <w:r>
        <w:t>The judge also, however, ordered</w:t>
      </w:r>
      <w:r w:rsidR="005D488B">
        <w:t xml:space="preserve"> that</w:t>
      </w:r>
      <w:r w:rsidR="00A52FBD">
        <w:t xml:space="preserve"> BHP should pay</w:t>
      </w:r>
      <w:r w:rsidR="0046242D">
        <w:t xml:space="preserve"> the claimants</w:t>
      </w:r>
      <w:r w:rsidR="005D488B">
        <w:t xml:space="preserve">: (i) </w:t>
      </w:r>
      <w:r w:rsidR="0046242D">
        <w:t>9</w:t>
      </w:r>
      <w:r w:rsidR="002C4164">
        <w:t>0% of the</w:t>
      </w:r>
      <w:r w:rsidR="0046242D">
        <w:t>ir</w:t>
      </w:r>
      <w:r w:rsidR="002C4164">
        <w:t xml:space="preserve"> costs </w:t>
      </w:r>
      <w:r w:rsidR="006771A3">
        <w:t xml:space="preserve">of the Stage 1 trial under </w:t>
      </w:r>
      <w:r w:rsidR="005D488B">
        <w:t xml:space="preserve">CPR </w:t>
      </w:r>
      <w:r w:rsidR="006771A3">
        <w:t xml:space="preserve">Part </w:t>
      </w:r>
      <w:r w:rsidR="005D488B">
        <w:t>44.2(2)(a)</w:t>
      </w:r>
      <w:r w:rsidR="00B50AEA">
        <w:t xml:space="preserve"> on a standard basis, (ii) pre</w:t>
      </w:r>
      <w:r w:rsidR="005D488B">
        <w:t xml:space="preserve">-judgment interest at the rate of 1% above UK base rate </w:t>
      </w:r>
      <w:r w:rsidR="00023C20">
        <w:t xml:space="preserve">on the </w:t>
      </w:r>
      <w:r w:rsidR="005D488B">
        <w:t xml:space="preserve">total recoverable amount of the </w:t>
      </w:r>
      <w:r w:rsidR="00023C20">
        <w:t>c</w:t>
      </w:r>
      <w:r w:rsidR="005D488B">
        <w:t xml:space="preserve">laimants’ Stage 1 </w:t>
      </w:r>
      <w:r w:rsidR="00023C20">
        <w:t>c</w:t>
      </w:r>
      <w:r w:rsidR="005D488B">
        <w:t>osts from 1 August 2023</w:t>
      </w:r>
      <w:r w:rsidR="00F70B74">
        <w:t xml:space="preserve"> </w:t>
      </w:r>
      <w:r w:rsidR="005D488B">
        <w:t xml:space="preserve">until </w:t>
      </w:r>
      <w:r w:rsidR="00F70B74">
        <w:t>26 January 2026</w:t>
      </w:r>
      <w:r w:rsidR="00A52FBD">
        <w:t>, and (iii)</w:t>
      </w:r>
      <w:r w:rsidR="0046242D">
        <w:t xml:space="preserve"> £43 million on account of costs</w:t>
      </w:r>
      <w:r w:rsidR="00BA19AB">
        <w:t xml:space="preserve"> under CPR Part </w:t>
      </w:r>
      <w:r w:rsidR="005D488B">
        <w:t>44.2(8)</w:t>
      </w:r>
      <w:r w:rsidR="00786292">
        <w:t xml:space="preserve">. The claimants were refused an immediate </w:t>
      </w:r>
      <w:r w:rsidR="005D488B">
        <w:t xml:space="preserve">detailed assessment of </w:t>
      </w:r>
      <w:r w:rsidR="00786292">
        <w:t>their costs</w:t>
      </w:r>
      <w:r w:rsidR="005D488B">
        <w:t>.</w:t>
      </w:r>
    </w:p>
    <w:p w14:paraId="4E92D5F8" w14:textId="1EF1AFC0" w:rsidR="00CD313B" w:rsidRDefault="00E042F0" w:rsidP="00016F7F">
      <w:pPr>
        <w:pStyle w:val="ParaLevel1"/>
      </w:pPr>
      <w:r>
        <w:t xml:space="preserve">BHP </w:t>
      </w:r>
      <w:r w:rsidR="009E290A">
        <w:t xml:space="preserve">has </w:t>
      </w:r>
      <w:r>
        <w:t>appeal</w:t>
      </w:r>
      <w:r w:rsidR="009E290A">
        <w:t>ed</w:t>
      </w:r>
      <w:r>
        <w:t xml:space="preserve"> the judge’s award of pre-judgment interest on the grounds that</w:t>
      </w:r>
      <w:r w:rsidR="00DB281A">
        <w:t>:</w:t>
      </w:r>
      <w:r>
        <w:t xml:space="preserve"> (i) the court had no power to award the claimants pre-judgment interest on costs </w:t>
      </w:r>
      <w:r w:rsidR="00DB281A">
        <w:t>“</w:t>
      </w:r>
      <w:r>
        <w:t>on account of a potential liability to pay a success fee reflecting the costs of funding the litigation”</w:t>
      </w:r>
      <w:r w:rsidR="00DB281A">
        <w:t xml:space="preserve">, and (ii) </w:t>
      </w:r>
      <w:r w:rsidR="00CD313B">
        <w:t>if there were such power,</w:t>
      </w:r>
      <w:r>
        <w:t xml:space="preserve"> the court should not have exercised it </w:t>
      </w:r>
      <w:r w:rsidR="00CD313B">
        <w:t>in the claimants’ favour.</w:t>
      </w:r>
    </w:p>
    <w:p w14:paraId="58E69835" w14:textId="0C607A8E" w:rsidR="003B515A" w:rsidRDefault="00A21A27" w:rsidP="00016F7F">
      <w:pPr>
        <w:pStyle w:val="ParaLevel1"/>
      </w:pPr>
      <w:r w:rsidRPr="00A21A27">
        <w:t xml:space="preserve">BHP’s arguments were essentially twofold. First, BHP said that the UK Supreme Court had made clear in </w:t>
      </w:r>
      <w:r w:rsidRPr="008C6961">
        <w:rPr>
          <w:i/>
          <w:iCs/>
        </w:rPr>
        <w:t>Hirachand v. Hirachand</w:t>
      </w:r>
      <w:r w:rsidRPr="00A21A27">
        <w:t xml:space="preserve"> [2024] UKSC 43, [2025] AC 599 (</w:t>
      </w:r>
      <w:r w:rsidRPr="008C6961">
        <w:rPr>
          <w:i/>
          <w:iCs/>
        </w:rPr>
        <w:t>Hirachand</w:t>
      </w:r>
      <w:r w:rsidRPr="00A21A27">
        <w:t>) that</w:t>
      </w:r>
      <w:r w:rsidR="002D3759">
        <w:t xml:space="preserve"> the</w:t>
      </w:r>
      <w:r w:rsidRPr="00A21A27">
        <w:t xml:space="preserve"> amended</w:t>
      </w:r>
      <w:r w:rsidR="002D3759">
        <w:t xml:space="preserve"> version of</w:t>
      </w:r>
      <w:r w:rsidRPr="00A21A27">
        <w:t xml:space="preserve"> section 58A(6) of the Courts and Legal Services Act 1990</w:t>
      </w:r>
      <w:r w:rsidR="002D3759">
        <w:t>,</w:t>
      </w:r>
      <w:r w:rsidRPr="00A21A27">
        <w:t xml:space="preserve"> which made success fees irrecoverable</w:t>
      </w:r>
      <w:r w:rsidR="002D3759">
        <w:t>,</w:t>
      </w:r>
      <w:r w:rsidRPr="00A21A27">
        <w:t xml:space="preserve"> could not be circumvented by re-categorising the fee. This argument </w:t>
      </w:r>
      <w:r w:rsidR="00217E34">
        <w:t>wa</w:t>
      </w:r>
      <w:r w:rsidRPr="00A21A27">
        <w:t>s based on the context (set out more fully from [19] below) that the original iteration of section 58</w:t>
      </w:r>
      <w:proofErr w:type="gramStart"/>
      <w:r w:rsidRPr="00A21A27">
        <w:t>A(</w:t>
      </w:r>
      <w:proofErr w:type="gramEnd"/>
      <w:r w:rsidRPr="00A21A27">
        <w:t xml:space="preserve">6) permitted the recovery of success fees. </w:t>
      </w:r>
      <w:r w:rsidR="00217E34">
        <w:t>Section 58</w:t>
      </w:r>
      <w:proofErr w:type="gramStart"/>
      <w:r w:rsidR="00217E34">
        <w:t>A(</w:t>
      </w:r>
      <w:proofErr w:type="gramEnd"/>
      <w:r w:rsidR="00217E34">
        <w:t xml:space="preserve">6) </w:t>
      </w:r>
      <w:r w:rsidRPr="00A21A27">
        <w:t xml:space="preserve">was amended, following Lord Justice Jackson’s report, by section 44(4) of the Legal Aid, Sentencing and Punishment of Offenders Act 2012 (LASPO 2012) </w:t>
      </w:r>
      <w:r w:rsidR="00395CC6">
        <w:t>to provide that:</w:t>
      </w:r>
      <w:r w:rsidR="00395CC6" w:rsidRPr="00395CC6">
        <w:t xml:space="preserve"> </w:t>
      </w:r>
      <w:r w:rsidR="00395CC6">
        <w:t>“[a] costs order made in proceedings may not include provision requiring the payment by one party of all or part of a success fee payable</w:t>
      </w:r>
      <w:r w:rsidR="00877CFB">
        <w:t xml:space="preserve"> …</w:t>
      </w:r>
      <w:r w:rsidR="00395CC6">
        <w:t>”</w:t>
      </w:r>
      <w:r w:rsidR="001D49FB">
        <w:t>.</w:t>
      </w:r>
      <w:r w:rsidR="008A397A">
        <w:t xml:space="preserve"> </w:t>
      </w:r>
      <w:r w:rsidR="007773FB">
        <w:t>That section prevented recovery of success fees directly or indirectly. BHP, therefore, submitted that the pre-judgment interest award made by the judge contravened section 58</w:t>
      </w:r>
      <w:proofErr w:type="gramStart"/>
      <w:r w:rsidR="007773FB">
        <w:t>A(</w:t>
      </w:r>
      <w:proofErr w:type="gramEnd"/>
      <w:r w:rsidR="007773FB">
        <w:t xml:space="preserve">6) because </w:t>
      </w:r>
      <w:r w:rsidR="007773FB" w:rsidRPr="00A65B63">
        <w:t>it was only awarded on the basis that the</w:t>
      </w:r>
      <w:r w:rsidR="007773FB">
        <w:t xml:space="preserve"> claimants might incur </w:t>
      </w:r>
      <w:r w:rsidR="007773FB" w:rsidRPr="00540ECD">
        <w:rPr>
          <w:b/>
          <w:bCs/>
        </w:rPr>
        <w:t>future</w:t>
      </w:r>
      <w:r w:rsidR="007773FB" w:rsidRPr="00A65B63">
        <w:t xml:space="preserve"> contingent cost</w:t>
      </w:r>
      <w:r w:rsidR="007773FB">
        <w:t>s by way of success fees</w:t>
      </w:r>
      <w:r w:rsidR="007773FB" w:rsidRPr="00A65B63">
        <w:t xml:space="preserve">. </w:t>
      </w:r>
      <w:r w:rsidR="007773FB">
        <w:t>It was common ground that the claimants’ conditional fee agreements did not require them to fund their litigation costs until they succeeded in their claims, and it was only at that point that they owed their solicitors their base costs and a success fee.</w:t>
      </w:r>
    </w:p>
    <w:p w14:paraId="69D7C525" w14:textId="7C029388" w:rsidR="002456C5" w:rsidRDefault="005B4E08" w:rsidP="00016F7F">
      <w:pPr>
        <w:pStyle w:val="ParaLevel1"/>
      </w:pPr>
      <w:r>
        <w:t xml:space="preserve">BHP placed particular reliance on the fact that, even when success fees were recoverable (before the </w:t>
      </w:r>
      <w:r w:rsidR="000A1931">
        <w:t>change</w:t>
      </w:r>
      <w:r w:rsidR="005070E9">
        <w:t>s</w:t>
      </w:r>
      <w:r w:rsidR="000A1931">
        <w:t xml:space="preserve"> made by LASPO</w:t>
      </w:r>
      <w:r w:rsidR="00F818F0">
        <w:t xml:space="preserve"> 2012</w:t>
      </w:r>
      <w:r w:rsidR="000A1931">
        <w:t>)</w:t>
      </w:r>
      <w:r w:rsidR="008D2CFC">
        <w:t xml:space="preserve">, </w:t>
      </w:r>
      <w:r w:rsidR="00091853">
        <w:t xml:space="preserve">CPR Part </w:t>
      </w:r>
      <w:r w:rsidR="002456C5">
        <w:t>44.3B(1)</w:t>
      </w:r>
      <w:r w:rsidR="00091853">
        <w:t xml:space="preserve"> (now </w:t>
      </w:r>
      <w:r w:rsidR="00091853">
        <w:lastRenderedPageBreak/>
        <w:t xml:space="preserve">removed) provided </w:t>
      </w:r>
      <w:r w:rsidR="00225801">
        <w:t xml:space="preserve">that absent a specific court order, </w:t>
      </w:r>
      <w:r w:rsidR="002456C5">
        <w:t xml:space="preserve">a party </w:t>
      </w:r>
      <w:r w:rsidR="00225801">
        <w:t xml:space="preserve">could </w:t>
      </w:r>
      <w:r w:rsidR="002456C5">
        <w:t xml:space="preserve">not recover </w:t>
      </w:r>
      <w:r w:rsidR="0038022A">
        <w:t>the part of the success fee “</w:t>
      </w:r>
      <w:r w:rsidR="002456C5">
        <w:t>relating to the cost to the legal representative of the postponement of the payment of his fees and expenses</w:t>
      </w:r>
      <w:r w:rsidR="0038022A">
        <w:t>”.</w:t>
      </w:r>
    </w:p>
    <w:p w14:paraId="31CF085E" w14:textId="5A2E6584" w:rsidR="000A401C" w:rsidRDefault="00592181" w:rsidP="00016F7F">
      <w:pPr>
        <w:pStyle w:val="ParaLevel1"/>
      </w:pPr>
      <w:r>
        <w:t xml:space="preserve">Secondly, BHP said that pre-judgment interest could only be awarded </w:t>
      </w:r>
      <w:r w:rsidR="00B01127">
        <w:t>where the claimants were out of pocket or had borrowed money to fund their costs. Here</w:t>
      </w:r>
      <w:r w:rsidR="00C83EDF">
        <w:t>,</w:t>
      </w:r>
      <w:r w:rsidR="00B01127">
        <w:t xml:space="preserve"> it was common ground</w:t>
      </w:r>
      <w:r w:rsidR="003E2727">
        <w:t xml:space="preserve"> (as I have said)</w:t>
      </w:r>
      <w:r w:rsidR="00B01127">
        <w:t xml:space="preserve"> that the claimants had done no such thing</w:t>
      </w:r>
      <w:r w:rsidR="00F42B7A">
        <w:t xml:space="preserve"> (see </w:t>
      </w:r>
      <w:r w:rsidR="003B515A" w:rsidRPr="003B515A">
        <w:rPr>
          <w:i/>
        </w:rPr>
        <w:t>Jones v</w:t>
      </w:r>
      <w:r w:rsidR="00C83EDF">
        <w:rPr>
          <w:i/>
        </w:rPr>
        <w:t>.</w:t>
      </w:r>
      <w:r w:rsidR="003B515A" w:rsidRPr="003B515A">
        <w:rPr>
          <w:i/>
        </w:rPr>
        <w:t xml:space="preserve"> Secretary of State for Energy and Climate Change </w:t>
      </w:r>
      <w:r w:rsidR="003B515A">
        <w:t>[2014] EWCA Civ 363</w:t>
      </w:r>
      <w:r w:rsidR="007530DF">
        <w:t>,</w:t>
      </w:r>
      <w:r w:rsidR="002A5123" w:rsidRPr="002A5123">
        <w:t xml:space="preserve"> [2014] 3 Costs LO 541</w:t>
      </w:r>
      <w:r w:rsidR="002A5123">
        <w:t>,</w:t>
      </w:r>
      <w:r w:rsidR="003B515A">
        <w:t xml:space="preserve"> per Sharp LJ at [17]</w:t>
      </w:r>
      <w:r w:rsidR="00AE7042">
        <w:t xml:space="preserve"> (</w:t>
      </w:r>
      <w:r w:rsidR="00AE7042">
        <w:rPr>
          <w:i/>
          <w:iCs/>
        </w:rPr>
        <w:t>Jones</w:t>
      </w:r>
      <w:r w:rsidR="00AE7042">
        <w:t>)</w:t>
      </w:r>
      <w:r w:rsidR="002A5123">
        <w:t>)</w:t>
      </w:r>
      <w:r w:rsidR="00AE7042">
        <w:t>.</w:t>
      </w:r>
    </w:p>
    <w:p w14:paraId="778DE109" w14:textId="68966BB1" w:rsidR="005B5519" w:rsidRPr="0011630A" w:rsidRDefault="00AE7042" w:rsidP="00016F7F">
      <w:pPr>
        <w:pStyle w:val="ParaLevel1"/>
        <w:rPr>
          <w:rStyle w:val="VerbatimChar"/>
          <w:rFonts w:ascii="Times New Roman" w:hAnsi="Times New Roman" w:cs="Times New Roman"/>
          <w:color w:val="auto"/>
          <w:sz w:val="24"/>
          <w:szCs w:val="20"/>
        </w:rPr>
      </w:pPr>
      <w:r>
        <w:t xml:space="preserve">In response, </w:t>
      </w:r>
      <w:r w:rsidR="006F2DC5">
        <w:t xml:space="preserve">the claimants submitted that </w:t>
      </w:r>
      <w:r w:rsidR="006F2DC5" w:rsidRPr="000A401C">
        <w:rPr>
          <w:i/>
          <w:iCs/>
        </w:rPr>
        <w:t>Hirachand</w:t>
      </w:r>
      <w:r w:rsidR="006F2DC5">
        <w:t xml:space="preserve"> had nothing to do with </w:t>
      </w:r>
      <w:r w:rsidR="00BA26C1">
        <w:t>pre-judgment interest on costs</w:t>
      </w:r>
      <w:r w:rsidR="000A401C">
        <w:t>.</w:t>
      </w:r>
      <w:r w:rsidR="005B5519">
        <w:t xml:space="preserve"> </w:t>
      </w:r>
      <w:r w:rsidR="000A401C" w:rsidRPr="000A401C">
        <w:rPr>
          <w:rStyle w:val="VerbatimChar"/>
          <w:rFonts w:ascii="Times New Roman" w:hAnsi="Times New Roman" w:cs="Times New Roman"/>
          <w:sz w:val="24"/>
          <w:szCs w:val="24"/>
        </w:rPr>
        <w:t xml:space="preserve">The fact that funding costs </w:t>
      </w:r>
      <w:r w:rsidR="005B5519">
        <w:rPr>
          <w:rStyle w:val="VerbatimChar"/>
          <w:rFonts w:ascii="Times New Roman" w:hAnsi="Times New Roman" w:cs="Times New Roman"/>
          <w:sz w:val="24"/>
          <w:szCs w:val="24"/>
        </w:rPr>
        <w:t>we</w:t>
      </w:r>
      <w:r w:rsidR="000A401C" w:rsidRPr="000A401C">
        <w:rPr>
          <w:rStyle w:val="VerbatimChar"/>
          <w:rFonts w:ascii="Times New Roman" w:hAnsi="Times New Roman" w:cs="Times New Roman"/>
          <w:sz w:val="24"/>
          <w:szCs w:val="24"/>
        </w:rPr>
        <w:t>re</w:t>
      </w:r>
      <w:r w:rsidR="0011630A">
        <w:rPr>
          <w:rStyle w:val="VerbatimChar"/>
          <w:rFonts w:ascii="Times New Roman" w:hAnsi="Times New Roman" w:cs="Times New Roman"/>
          <w:color w:val="auto"/>
          <w:sz w:val="24"/>
          <w:szCs w:val="20"/>
        </w:rPr>
        <w:t xml:space="preserve"> </w:t>
      </w:r>
      <w:r w:rsidR="000A401C" w:rsidRPr="0011630A">
        <w:rPr>
          <w:rStyle w:val="VerbatimChar"/>
          <w:rFonts w:ascii="Times New Roman" w:hAnsi="Times New Roman" w:cs="Times New Roman"/>
          <w:sz w:val="24"/>
          <w:szCs w:val="24"/>
        </w:rPr>
        <w:t>irrecoverable d</w:t>
      </w:r>
      <w:r w:rsidR="005B5519" w:rsidRPr="0011630A">
        <w:rPr>
          <w:rStyle w:val="VerbatimChar"/>
          <w:rFonts w:ascii="Times New Roman" w:hAnsi="Times New Roman" w:cs="Times New Roman"/>
          <w:sz w:val="24"/>
          <w:szCs w:val="24"/>
        </w:rPr>
        <w:t>id</w:t>
      </w:r>
      <w:r w:rsidR="000A401C" w:rsidRPr="0011630A">
        <w:rPr>
          <w:rStyle w:val="VerbatimChar"/>
          <w:rFonts w:ascii="Times New Roman" w:hAnsi="Times New Roman" w:cs="Times New Roman"/>
          <w:sz w:val="24"/>
          <w:szCs w:val="24"/>
        </w:rPr>
        <w:t xml:space="preserve"> not mean that an award of</w:t>
      </w:r>
      <w:r w:rsidR="00842AB7">
        <w:rPr>
          <w:rStyle w:val="VerbatimChar"/>
          <w:rFonts w:ascii="Times New Roman" w:hAnsi="Times New Roman" w:cs="Times New Roman"/>
          <w:sz w:val="24"/>
          <w:szCs w:val="24"/>
        </w:rPr>
        <w:t xml:space="preserve"> pre-judgment</w:t>
      </w:r>
      <w:r w:rsidR="000A401C" w:rsidRPr="0011630A">
        <w:rPr>
          <w:rStyle w:val="VerbatimChar"/>
          <w:rFonts w:ascii="Times New Roman" w:hAnsi="Times New Roman" w:cs="Times New Roman"/>
          <w:sz w:val="24"/>
          <w:szCs w:val="24"/>
        </w:rPr>
        <w:t xml:space="preserve"> interest under CPR </w:t>
      </w:r>
      <w:r w:rsidR="0011630A">
        <w:rPr>
          <w:rStyle w:val="VerbatimChar"/>
          <w:rFonts w:ascii="Times New Roman" w:hAnsi="Times New Roman" w:cs="Times New Roman"/>
          <w:sz w:val="24"/>
          <w:szCs w:val="24"/>
        </w:rPr>
        <w:t xml:space="preserve">Part </w:t>
      </w:r>
      <w:r w:rsidR="000A401C" w:rsidRPr="0011630A">
        <w:rPr>
          <w:rStyle w:val="VerbatimChar"/>
          <w:rFonts w:ascii="Times New Roman" w:hAnsi="Times New Roman" w:cs="Times New Roman"/>
          <w:sz w:val="24"/>
          <w:szCs w:val="24"/>
        </w:rPr>
        <w:t xml:space="preserve">44.2(6)(g) </w:t>
      </w:r>
      <w:r w:rsidR="00563FE1" w:rsidRPr="0011630A">
        <w:rPr>
          <w:rStyle w:val="VerbatimChar"/>
          <w:rFonts w:ascii="Times New Roman" w:hAnsi="Times New Roman" w:cs="Times New Roman"/>
          <w:sz w:val="24"/>
          <w:szCs w:val="24"/>
        </w:rPr>
        <w:t>c</w:t>
      </w:r>
      <w:r w:rsidR="005B5519" w:rsidRPr="0011630A">
        <w:rPr>
          <w:rStyle w:val="VerbatimChar"/>
          <w:rFonts w:ascii="Times New Roman" w:hAnsi="Times New Roman" w:cs="Times New Roman"/>
          <w:sz w:val="24"/>
          <w:szCs w:val="24"/>
        </w:rPr>
        <w:t xml:space="preserve">ould not </w:t>
      </w:r>
      <w:r w:rsidR="000A401C" w:rsidRPr="0011630A">
        <w:rPr>
          <w:rStyle w:val="VerbatimChar"/>
          <w:rFonts w:ascii="Times New Roman" w:hAnsi="Times New Roman" w:cs="Times New Roman"/>
          <w:sz w:val="24"/>
          <w:szCs w:val="24"/>
        </w:rPr>
        <w:t>be made on a broad</w:t>
      </w:r>
      <w:r w:rsidR="00563FE1" w:rsidRPr="0011630A">
        <w:rPr>
          <w:rStyle w:val="VerbatimChar"/>
          <w:rFonts w:ascii="Times New Roman" w:hAnsi="Times New Roman" w:cs="Times New Roman"/>
          <w:sz w:val="24"/>
          <w:szCs w:val="24"/>
        </w:rPr>
        <w:t xml:space="preserve"> </w:t>
      </w:r>
      <w:r w:rsidR="000A401C" w:rsidRPr="0011630A">
        <w:rPr>
          <w:rStyle w:val="VerbatimChar"/>
          <w:rFonts w:ascii="Times New Roman" w:hAnsi="Times New Roman" w:cs="Times New Roman"/>
          <w:sz w:val="24"/>
          <w:szCs w:val="24"/>
        </w:rPr>
        <w:t>discretionary basis taking into account all the circumstances, including that the relevant party ha</w:t>
      </w:r>
      <w:r w:rsidR="005B7D1D">
        <w:rPr>
          <w:rStyle w:val="VerbatimChar"/>
          <w:rFonts w:ascii="Times New Roman" w:hAnsi="Times New Roman" w:cs="Times New Roman"/>
          <w:sz w:val="24"/>
          <w:szCs w:val="24"/>
        </w:rPr>
        <w:t xml:space="preserve">d been required to pay the </w:t>
      </w:r>
      <w:r w:rsidR="000A401C" w:rsidRPr="0011630A">
        <w:rPr>
          <w:rStyle w:val="VerbatimChar"/>
          <w:rFonts w:ascii="Times New Roman" w:hAnsi="Times New Roman" w:cs="Times New Roman"/>
          <w:sz w:val="24"/>
          <w:szCs w:val="24"/>
        </w:rPr>
        <w:t>cost of funding</w:t>
      </w:r>
      <w:r w:rsidR="00881206">
        <w:rPr>
          <w:rStyle w:val="VerbatimChar"/>
          <w:rFonts w:ascii="Times New Roman" w:hAnsi="Times New Roman" w:cs="Times New Roman"/>
          <w:sz w:val="24"/>
          <w:szCs w:val="24"/>
        </w:rPr>
        <w:t>, even if that funding cost would itself be irrecoverable</w:t>
      </w:r>
      <w:r w:rsidR="000A401C" w:rsidRPr="0011630A">
        <w:rPr>
          <w:rStyle w:val="VerbatimChar"/>
          <w:rFonts w:ascii="Times New Roman" w:hAnsi="Times New Roman" w:cs="Times New Roman"/>
          <w:sz w:val="24"/>
          <w:szCs w:val="24"/>
        </w:rPr>
        <w:t>.</w:t>
      </w:r>
    </w:p>
    <w:p w14:paraId="2D3BF370" w14:textId="44061430" w:rsidR="0011630A" w:rsidRPr="0011630A" w:rsidRDefault="00B12980" w:rsidP="00016F7F">
      <w:pPr>
        <w:pStyle w:val="ParaLevel1"/>
        <w:rPr>
          <w:rStyle w:val="VerbatimChar"/>
          <w:rFonts w:ascii="Times New Roman" w:hAnsi="Times New Roman" w:cs="Times New Roman"/>
          <w:color w:val="auto"/>
          <w:sz w:val="24"/>
          <w:szCs w:val="20"/>
        </w:rPr>
      </w:pPr>
      <w:r>
        <w:rPr>
          <w:rStyle w:val="VerbatimChar"/>
          <w:rFonts w:ascii="Times New Roman" w:hAnsi="Times New Roman" w:cs="Times New Roman"/>
          <w:sz w:val="24"/>
          <w:szCs w:val="24"/>
        </w:rPr>
        <w:t>The claimants accepted BHP’s</w:t>
      </w:r>
      <w:r w:rsidR="003629BF">
        <w:t xml:space="preserve"> argument that pre-judgment interest could only be awarded where the claimants were</w:t>
      </w:r>
      <w:r>
        <w:t xml:space="preserve">, in some sense, </w:t>
      </w:r>
      <w:r w:rsidR="003629BF">
        <w:t>out of pocket</w:t>
      </w:r>
      <w:r w:rsidR="006816B6">
        <w:t>. They submitted</w:t>
      </w:r>
      <w:r w:rsidR="00CF2BD0">
        <w:t>, however, that</w:t>
      </w:r>
      <w:r w:rsidR="006816B6">
        <w:t xml:space="preserve"> they were</w:t>
      </w:r>
      <w:r w:rsidR="00CF2BD0">
        <w:t xml:space="preserve"> out of pocket</w:t>
      </w:r>
      <w:r w:rsidR="006816B6">
        <w:t xml:space="preserve">, because they were </w:t>
      </w:r>
      <w:r w:rsidR="00A805F6">
        <w:t xml:space="preserve">contingently </w:t>
      </w:r>
      <w:r w:rsidR="006816B6">
        <w:t>obliged to compensate their solicitors for the late payment of their fees through the success fee</w:t>
      </w:r>
      <w:r w:rsidR="00B06EEB">
        <w:t xml:space="preserve"> or part of it</w:t>
      </w:r>
      <w:r w:rsidR="006816B6">
        <w:t>.</w:t>
      </w:r>
    </w:p>
    <w:p w14:paraId="2E24AFF8" w14:textId="6AFFB04F" w:rsidR="00114449" w:rsidRDefault="003F3CDD" w:rsidP="00016F7F">
      <w:pPr>
        <w:pStyle w:val="ParaLevel1"/>
      </w:pPr>
      <w:r>
        <w:t>I</w:t>
      </w:r>
      <w:r w:rsidR="008E3B5B">
        <w:t xml:space="preserve"> have </w:t>
      </w:r>
      <w:r>
        <w:t>concluded</w:t>
      </w:r>
      <w:r w:rsidR="008E3B5B">
        <w:t xml:space="preserve"> that the judge </w:t>
      </w:r>
      <w:r w:rsidR="00C707D1">
        <w:t xml:space="preserve">was right </w:t>
      </w:r>
      <w:r>
        <w:t>so that the appeal should be dismissed</w:t>
      </w:r>
      <w:r w:rsidR="00B01127">
        <w:t>.</w:t>
      </w:r>
      <w:r w:rsidR="009251F0">
        <w:t xml:space="preserve"> Logically,</w:t>
      </w:r>
      <w:r w:rsidR="00673DFF">
        <w:t xml:space="preserve"> in my judgment,</w:t>
      </w:r>
      <w:r w:rsidR="009251F0">
        <w:t xml:space="preserve"> the </w:t>
      </w:r>
      <w:r w:rsidR="002D0862">
        <w:t xml:space="preserve">primary question concerns the </w:t>
      </w:r>
      <w:r w:rsidR="00673DFF">
        <w:t xml:space="preserve">scope of the power </w:t>
      </w:r>
      <w:r w:rsidR="00083D5D">
        <w:t xml:space="preserve">in </w:t>
      </w:r>
      <w:r w:rsidR="00083D5D" w:rsidRPr="00AD68E8">
        <w:rPr>
          <w:rStyle w:val="VerbatimChar"/>
          <w:rFonts w:ascii="Times New Roman" w:hAnsi="Times New Roman" w:cs="Times New Roman"/>
          <w:sz w:val="24"/>
          <w:szCs w:val="24"/>
        </w:rPr>
        <w:t xml:space="preserve">CPR Part 44.2(6)(g) </w:t>
      </w:r>
      <w:r w:rsidR="00673DFF">
        <w:t>to award pre-judgment interest</w:t>
      </w:r>
      <w:r w:rsidR="004E4585">
        <w:t xml:space="preserve"> on costs</w:t>
      </w:r>
      <w:r w:rsidR="00083D5D">
        <w:t xml:space="preserve">. </w:t>
      </w:r>
      <w:r w:rsidR="009251F0">
        <w:t xml:space="preserve">BHP’s </w:t>
      </w:r>
      <w:r w:rsidR="00F32264">
        <w:t>second</w:t>
      </w:r>
      <w:r w:rsidR="009251F0">
        <w:t xml:space="preserve"> argument comes first. </w:t>
      </w:r>
      <w:r w:rsidR="00B62469">
        <w:t xml:space="preserve">An award of </w:t>
      </w:r>
      <w:r w:rsidR="00A12D29">
        <w:t xml:space="preserve">pre-judgment </w:t>
      </w:r>
      <w:r w:rsidR="00B62469">
        <w:t>interest</w:t>
      </w:r>
      <w:r w:rsidR="00A12D29">
        <w:t xml:space="preserve"> on costs</w:t>
      </w:r>
      <w:r w:rsidR="00B62469">
        <w:t xml:space="preserve"> is self-evidently about compensating one party for the loss of the time value of money</w:t>
      </w:r>
      <w:r w:rsidR="00246308">
        <w:t xml:space="preserve">. The recent authorities </w:t>
      </w:r>
      <w:r w:rsidR="00E54C1A">
        <w:t xml:space="preserve">confirm that the power in </w:t>
      </w:r>
      <w:r w:rsidR="00E54C1A" w:rsidRPr="00AD68E8">
        <w:rPr>
          <w:rStyle w:val="VerbatimChar"/>
          <w:rFonts w:ascii="Times New Roman" w:hAnsi="Times New Roman" w:cs="Times New Roman"/>
          <w:sz w:val="24"/>
          <w:szCs w:val="24"/>
        </w:rPr>
        <w:t>CPR Part 44.2(6)(g) provides a broad discretion</w:t>
      </w:r>
      <w:r w:rsidR="003E52E7" w:rsidRPr="00AD68E8">
        <w:rPr>
          <w:rStyle w:val="VerbatimChar"/>
          <w:rFonts w:ascii="Times New Roman" w:hAnsi="Times New Roman" w:cs="Times New Roman"/>
          <w:sz w:val="24"/>
          <w:szCs w:val="24"/>
        </w:rPr>
        <w:t xml:space="preserve"> to compensate for the loss of the time value of money</w:t>
      </w:r>
      <w:r w:rsidR="007E7FA9">
        <w:rPr>
          <w:rStyle w:val="VerbatimChar"/>
          <w:rFonts w:ascii="Times New Roman" w:hAnsi="Times New Roman" w:cs="Times New Roman"/>
          <w:sz w:val="24"/>
          <w:szCs w:val="24"/>
        </w:rPr>
        <w:t xml:space="preserve">. The purpose of the power in </w:t>
      </w:r>
      <w:r w:rsidR="007E7FA9" w:rsidRPr="0011630A">
        <w:rPr>
          <w:rStyle w:val="VerbatimChar"/>
          <w:rFonts w:ascii="Times New Roman" w:hAnsi="Times New Roman" w:cs="Times New Roman"/>
          <w:sz w:val="24"/>
          <w:szCs w:val="24"/>
        </w:rPr>
        <w:t xml:space="preserve">CPR </w:t>
      </w:r>
      <w:r w:rsidR="007E7FA9">
        <w:rPr>
          <w:rStyle w:val="VerbatimChar"/>
          <w:rFonts w:ascii="Times New Roman" w:hAnsi="Times New Roman" w:cs="Times New Roman"/>
          <w:sz w:val="24"/>
          <w:szCs w:val="24"/>
        </w:rPr>
        <w:t xml:space="preserve">Part </w:t>
      </w:r>
      <w:r w:rsidR="007E7FA9" w:rsidRPr="0011630A">
        <w:rPr>
          <w:rStyle w:val="VerbatimChar"/>
          <w:rFonts w:ascii="Times New Roman" w:hAnsi="Times New Roman" w:cs="Times New Roman"/>
          <w:sz w:val="24"/>
          <w:szCs w:val="24"/>
        </w:rPr>
        <w:t>44.2(6)(g)</w:t>
      </w:r>
      <w:r w:rsidR="007E7FA9">
        <w:rPr>
          <w:rStyle w:val="VerbatimChar"/>
          <w:rFonts w:ascii="Times New Roman" w:hAnsi="Times New Roman" w:cs="Times New Roman"/>
          <w:sz w:val="24"/>
          <w:szCs w:val="24"/>
        </w:rPr>
        <w:t xml:space="preserve"> </w:t>
      </w:r>
      <w:r w:rsidR="00F45789" w:rsidRPr="00AD68E8">
        <w:rPr>
          <w:rStyle w:val="VerbatimChar"/>
          <w:rFonts w:ascii="Times New Roman" w:hAnsi="Times New Roman" w:cs="Times New Roman"/>
          <w:sz w:val="24"/>
          <w:szCs w:val="24"/>
        </w:rPr>
        <w:t>is to</w:t>
      </w:r>
      <w:r w:rsidR="003C0F69" w:rsidRPr="00AD68E8">
        <w:rPr>
          <w:rStyle w:val="VerbatimChar"/>
          <w:rFonts w:ascii="Times New Roman" w:hAnsi="Times New Roman" w:cs="Times New Roman"/>
          <w:sz w:val="24"/>
          <w:szCs w:val="24"/>
        </w:rPr>
        <w:t xml:space="preserve"> compensate</w:t>
      </w:r>
      <w:r w:rsidR="00F17819" w:rsidRPr="00AD68E8">
        <w:rPr>
          <w:rStyle w:val="VerbatimChar"/>
          <w:rFonts w:ascii="Times New Roman" w:hAnsi="Times New Roman" w:cs="Times New Roman"/>
          <w:sz w:val="24"/>
          <w:szCs w:val="24"/>
        </w:rPr>
        <w:t xml:space="preserve"> the recipient </w:t>
      </w:r>
      <w:r w:rsidR="00114449">
        <w:t>either for having been kept out of its money or for itself being liable to compensate someone else</w:t>
      </w:r>
      <w:r w:rsidR="00A401F6">
        <w:t xml:space="preserve"> (whether the solicitors providing the legal services themselves, an insurer</w:t>
      </w:r>
      <w:r w:rsidR="00C65636">
        <w:t xml:space="preserve"> or a third</w:t>
      </w:r>
      <w:r w:rsidR="00F1661C">
        <w:t>-</w:t>
      </w:r>
      <w:r w:rsidR="00C65636">
        <w:t>party funder)</w:t>
      </w:r>
      <w:r w:rsidR="00114449">
        <w:t xml:space="preserve"> for the fact that legal services have been provided to </w:t>
      </w:r>
      <w:r w:rsidR="007E7FA9">
        <w:t>the recipient</w:t>
      </w:r>
      <w:r w:rsidR="00114449">
        <w:t xml:space="preserve"> on credit</w:t>
      </w:r>
      <w:r w:rsidR="00C65636">
        <w:t>.</w:t>
      </w:r>
    </w:p>
    <w:p w14:paraId="26636B85" w14:textId="1AD3CEAD" w:rsidR="00114449" w:rsidRPr="002B2B35" w:rsidRDefault="00475B43" w:rsidP="00016F7F">
      <w:pPr>
        <w:pStyle w:val="ParaLevel1"/>
        <w:rPr>
          <w:rStyle w:val="VerbatimChar"/>
          <w:rFonts w:ascii="Times New Roman" w:hAnsi="Times New Roman" w:cs="Times New Roman"/>
          <w:color w:val="auto"/>
          <w:sz w:val="24"/>
          <w:szCs w:val="20"/>
        </w:rPr>
      </w:pPr>
      <w:r>
        <w:t xml:space="preserve">Once the scope of the power in </w:t>
      </w:r>
      <w:r w:rsidRPr="002B2B35">
        <w:rPr>
          <w:rStyle w:val="VerbatimChar"/>
          <w:rFonts w:ascii="Times New Roman" w:hAnsi="Times New Roman" w:cs="Times New Roman"/>
          <w:sz w:val="24"/>
          <w:szCs w:val="24"/>
        </w:rPr>
        <w:t>CPR Part 44.2(6)(g)</w:t>
      </w:r>
      <w:r w:rsidR="00D24C6C" w:rsidRPr="002B2B35">
        <w:rPr>
          <w:rStyle w:val="VerbatimChar"/>
          <w:rFonts w:ascii="Times New Roman" w:hAnsi="Times New Roman" w:cs="Times New Roman"/>
          <w:sz w:val="24"/>
          <w:szCs w:val="24"/>
        </w:rPr>
        <w:t xml:space="preserve"> is clear, </w:t>
      </w:r>
      <w:r w:rsidR="00635CA8" w:rsidRPr="002B2B35">
        <w:rPr>
          <w:rStyle w:val="VerbatimChar"/>
          <w:rFonts w:ascii="Times New Roman" w:hAnsi="Times New Roman" w:cs="Times New Roman"/>
          <w:sz w:val="24"/>
          <w:szCs w:val="24"/>
        </w:rPr>
        <w:t xml:space="preserve">the significance of </w:t>
      </w:r>
      <w:r w:rsidR="00D24C6C" w:rsidRPr="002B2B35">
        <w:rPr>
          <w:rStyle w:val="VerbatimChar"/>
          <w:rFonts w:ascii="Times New Roman" w:hAnsi="Times New Roman" w:cs="Times New Roman"/>
          <w:i/>
          <w:iCs/>
          <w:sz w:val="24"/>
          <w:szCs w:val="24"/>
        </w:rPr>
        <w:t>Hirachand</w:t>
      </w:r>
      <w:r w:rsidR="00D24C6C" w:rsidRPr="002B2B35">
        <w:rPr>
          <w:rStyle w:val="VerbatimChar"/>
          <w:rFonts w:ascii="Times New Roman" w:hAnsi="Times New Roman" w:cs="Times New Roman"/>
          <w:sz w:val="24"/>
          <w:szCs w:val="24"/>
        </w:rPr>
        <w:t xml:space="preserve"> falls into place.</w:t>
      </w:r>
      <w:r w:rsidR="00635CA8" w:rsidRPr="002B2B35">
        <w:rPr>
          <w:rStyle w:val="VerbatimChar"/>
          <w:rFonts w:ascii="Times New Roman" w:hAnsi="Times New Roman" w:cs="Times New Roman"/>
          <w:sz w:val="24"/>
          <w:szCs w:val="24"/>
        </w:rPr>
        <w:t xml:space="preserve"> </w:t>
      </w:r>
      <w:r w:rsidR="00956FEC" w:rsidRPr="002B2B35">
        <w:rPr>
          <w:rStyle w:val="VerbatimChar"/>
          <w:rFonts w:ascii="Times New Roman" w:hAnsi="Times New Roman" w:cs="Times New Roman"/>
          <w:i/>
          <w:iCs/>
          <w:sz w:val="24"/>
          <w:szCs w:val="24"/>
        </w:rPr>
        <w:t>Hirachand</w:t>
      </w:r>
      <w:r w:rsidR="00956FEC" w:rsidRPr="002B2B35">
        <w:rPr>
          <w:rStyle w:val="VerbatimChar"/>
          <w:rFonts w:ascii="Times New Roman" w:hAnsi="Times New Roman" w:cs="Times New Roman"/>
          <w:sz w:val="24"/>
          <w:szCs w:val="24"/>
        </w:rPr>
        <w:t xml:space="preserve"> decided that </w:t>
      </w:r>
      <w:r w:rsidR="00954857" w:rsidRPr="002B2B35">
        <w:rPr>
          <w:rStyle w:val="VerbatimChar"/>
          <w:rFonts w:ascii="Times New Roman" w:hAnsi="Times New Roman" w:cs="Times New Roman"/>
          <w:sz w:val="24"/>
          <w:szCs w:val="24"/>
        </w:rPr>
        <w:t>the</w:t>
      </w:r>
      <w:r w:rsidR="000E455D">
        <w:rPr>
          <w:rStyle w:val="VerbatimChar"/>
          <w:rFonts w:ascii="Times New Roman" w:hAnsi="Times New Roman" w:cs="Times New Roman"/>
          <w:sz w:val="24"/>
          <w:szCs w:val="24"/>
        </w:rPr>
        <w:t xml:space="preserve"> section 58</w:t>
      </w:r>
      <w:proofErr w:type="gramStart"/>
      <w:r w:rsidR="000E455D">
        <w:rPr>
          <w:rStyle w:val="VerbatimChar"/>
          <w:rFonts w:ascii="Times New Roman" w:hAnsi="Times New Roman" w:cs="Times New Roman"/>
          <w:sz w:val="24"/>
          <w:szCs w:val="24"/>
        </w:rPr>
        <w:t>A(</w:t>
      </w:r>
      <w:proofErr w:type="gramEnd"/>
      <w:r w:rsidR="000E455D">
        <w:rPr>
          <w:rStyle w:val="VerbatimChar"/>
          <w:rFonts w:ascii="Times New Roman" w:hAnsi="Times New Roman" w:cs="Times New Roman"/>
          <w:sz w:val="24"/>
          <w:szCs w:val="24"/>
        </w:rPr>
        <w:t>6)</w:t>
      </w:r>
      <w:r w:rsidR="00954857" w:rsidRPr="002B2B35">
        <w:rPr>
          <w:rStyle w:val="VerbatimChar"/>
          <w:rFonts w:ascii="Times New Roman" w:hAnsi="Times New Roman" w:cs="Times New Roman"/>
          <w:sz w:val="24"/>
          <w:szCs w:val="24"/>
        </w:rPr>
        <w:t xml:space="preserve"> prohibition on </w:t>
      </w:r>
      <w:r w:rsidR="00EE7AEB">
        <w:t>costs orders requiring the payment of a success fee</w:t>
      </w:r>
      <w:r w:rsidR="003A3880">
        <w:t xml:space="preserve"> could not be </w:t>
      </w:r>
      <w:r w:rsidR="0093413A">
        <w:t xml:space="preserve">circumvented by </w:t>
      </w:r>
      <w:r w:rsidR="002B2B35">
        <w:t>including payment of the success fee in the order for substantive relief granted under the Inheritance (Provision for Family and Dependants) Act 1975</w:t>
      </w:r>
      <w:r w:rsidR="009E7973">
        <w:t xml:space="preserve"> (the Inheritance Act)</w:t>
      </w:r>
      <w:r w:rsidR="00EE7AEB">
        <w:t>.</w:t>
      </w:r>
      <w:r w:rsidR="00013B16">
        <w:t xml:space="preserve"> Such an order was</w:t>
      </w:r>
      <w:r w:rsidR="00CD247B">
        <w:t xml:space="preserve"> anyway</w:t>
      </w:r>
      <w:r w:rsidR="00013B16">
        <w:t xml:space="preserve"> a “costs order” </w:t>
      </w:r>
      <w:r w:rsidR="007B0E32">
        <w:t>within section 58</w:t>
      </w:r>
      <w:proofErr w:type="gramStart"/>
      <w:r w:rsidR="007B0E32">
        <w:t>A(</w:t>
      </w:r>
      <w:proofErr w:type="gramEnd"/>
      <w:r w:rsidR="007B0E32">
        <w:t xml:space="preserve">6). The Supreme Court said nothing, however, about the scope of </w:t>
      </w:r>
      <w:r w:rsidR="008B22C1">
        <w:t xml:space="preserve">the power in </w:t>
      </w:r>
      <w:r w:rsidR="008B22C1" w:rsidRPr="002B2B35">
        <w:rPr>
          <w:rStyle w:val="VerbatimChar"/>
          <w:rFonts w:ascii="Times New Roman" w:hAnsi="Times New Roman" w:cs="Times New Roman"/>
          <w:sz w:val="24"/>
          <w:szCs w:val="24"/>
        </w:rPr>
        <w:t>CPR Part 44.2(6)(g)</w:t>
      </w:r>
      <w:r w:rsidR="008B22C1">
        <w:rPr>
          <w:rStyle w:val="VerbatimChar"/>
          <w:rFonts w:ascii="Times New Roman" w:hAnsi="Times New Roman" w:cs="Times New Roman"/>
          <w:sz w:val="24"/>
          <w:szCs w:val="24"/>
        </w:rPr>
        <w:t xml:space="preserve">, nor about </w:t>
      </w:r>
      <w:r w:rsidR="009A7D10">
        <w:rPr>
          <w:rStyle w:val="VerbatimChar"/>
          <w:rFonts w:ascii="Times New Roman" w:hAnsi="Times New Roman" w:cs="Times New Roman"/>
          <w:sz w:val="24"/>
          <w:szCs w:val="24"/>
        </w:rPr>
        <w:t xml:space="preserve">its interaction </w:t>
      </w:r>
      <w:r w:rsidR="00012CE3">
        <w:rPr>
          <w:rStyle w:val="VerbatimChar"/>
          <w:rFonts w:ascii="Times New Roman" w:hAnsi="Times New Roman" w:cs="Times New Roman"/>
          <w:sz w:val="24"/>
          <w:szCs w:val="24"/>
        </w:rPr>
        <w:t xml:space="preserve">with </w:t>
      </w:r>
      <w:r w:rsidR="00D165C0">
        <w:rPr>
          <w:rStyle w:val="VerbatimChar"/>
          <w:rFonts w:ascii="Times New Roman" w:hAnsi="Times New Roman" w:cs="Times New Roman"/>
          <w:sz w:val="24"/>
          <w:szCs w:val="24"/>
        </w:rPr>
        <w:t>section</w:t>
      </w:r>
      <w:r w:rsidR="009F0217">
        <w:t xml:space="preserve"> 58</w:t>
      </w:r>
      <w:proofErr w:type="gramStart"/>
      <w:r w:rsidR="009F0217">
        <w:t>A(</w:t>
      </w:r>
      <w:proofErr w:type="gramEnd"/>
      <w:r w:rsidR="009F0217">
        <w:t>6).</w:t>
      </w:r>
    </w:p>
    <w:p w14:paraId="4E0A2E1A" w14:textId="3FD220B4" w:rsidR="00FA0769" w:rsidRDefault="00AF3563" w:rsidP="00016F7F">
      <w:pPr>
        <w:pStyle w:val="ParaLevel1"/>
      </w:pPr>
      <w:r>
        <w:t>O</w:t>
      </w:r>
      <w:r w:rsidR="00CF55C7">
        <w:t>n the facts in this case, the claimants can bring themselves within the scope of the power in CPR Part 44.2(6)(g)</w:t>
      </w:r>
      <w:r w:rsidR="00F56726">
        <w:t xml:space="preserve"> because they are under a liability, albeit through the mechanism of a success fee,</w:t>
      </w:r>
      <w:r w:rsidR="000D03E3">
        <w:t xml:space="preserve"> to compensate the</w:t>
      </w:r>
      <w:r w:rsidR="00F56726">
        <w:t>ir</w:t>
      </w:r>
      <w:r w:rsidR="000D03E3">
        <w:t xml:space="preserve"> solicitors for the fact that they have provided the</w:t>
      </w:r>
      <w:r w:rsidR="007D2E47">
        <w:t xml:space="preserve"> claimants with their services without payment</w:t>
      </w:r>
      <w:r w:rsidR="000D03E3">
        <w:t>.</w:t>
      </w:r>
      <w:r w:rsidR="0031582F">
        <w:t xml:space="preserve"> </w:t>
      </w:r>
      <w:r w:rsidR="001D0E49">
        <w:t>T</w:t>
      </w:r>
      <w:r w:rsidR="0031582F">
        <w:t xml:space="preserve">he order made by the judge </w:t>
      </w:r>
      <w:r w:rsidR="001D0E49">
        <w:t xml:space="preserve">does not infringe the prohibition in section </w:t>
      </w:r>
      <w:r w:rsidR="00D165C0">
        <w:t>58</w:t>
      </w:r>
      <w:proofErr w:type="gramStart"/>
      <w:r w:rsidR="00D165C0">
        <w:t>A(</w:t>
      </w:r>
      <w:proofErr w:type="gramEnd"/>
      <w:r w:rsidR="00D165C0">
        <w:t xml:space="preserve">6), because it </w:t>
      </w:r>
      <w:r w:rsidR="006F3F98">
        <w:t>is</w:t>
      </w:r>
      <w:r w:rsidR="00612632">
        <w:t xml:space="preserve"> an order for pre-judgment interest on costs, which is quite</w:t>
      </w:r>
      <w:r w:rsidR="006F3F98">
        <w:t xml:space="preserve"> distinct and separate from </w:t>
      </w:r>
      <w:r w:rsidR="00612632">
        <w:t xml:space="preserve">an order </w:t>
      </w:r>
      <w:r w:rsidR="009E7005">
        <w:t>requir</w:t>
      </w:r>
      <w:r w:rsidR="00612632">
        <w:t>ing</w:t>
      </w:r>
      <w:r w:rsidR="009E7005">
        <w:t xml:space="preserve"> </w:t>
      </w:r>
      <w:r w:rsidR="009E7005">
        <w:lastRenderedPageBreak/>
        <w:t>“the payment by one party of all or part of a success fee payable”.</w:t>
      </w:r>
      <w:r w:rsidR="00742448">
        <w:t xml:space="preserve"> It compensates the claimants for the loss of the time value of </w:t>
      </w:r>
      <w:r w:rsidR="001633F2">
        <w:t xml:space="preserve">their money. </w:t>
      </w:r>
    </w:p>
    <w:p w14:paraId="5ABE6708" w14:textId="3C4CED29" w:rsidR="000D03E3" w:rsidRDefault="00FA0769" w:rsidP="00016F7F">
      <w:pPr>
        <w:pStyle w:val="ParaLevel1"/>
      </w:pPr>
      <w:r>
        <w:t>I shall explain my reasons for these conclusions briefly under the following headings</w:t>
      </w:r>
      <w:r w:rsidR="00E032F9">
        <w:t>: (i) the claimants’ litigation funding arrangements</w:t>
      </w:r>
      <w:r w:rsidR="005F26DE">
        <w:t>,</w:t>
      </w:r>
      <w:r w:rsidR="0031582F">
        <w:t xml:space="preserve"> </w:t>
      </w:r>
      <w:r w:rsidR="00E032F9">
        <w:t>(ii)</w:t>
      </w:r>
      <w:r w:rsidR="005F26DE">
        <w:t xml:space="preserve"> the relevant legislative</w:t>
      </w:r>
      <w:r w:rsidR="006C37C0">
        <w:t xml:space="preserve"> and other</w:t>
      </w:r>
      <w:r w:rsidR="005F26DE">
        <w:t xml:space="preserve"> history, (iii) the judge’s decision</w:t>
      </w:r>
      <w:r w:rsidR="002A13EB">
        <w:t xml:space="preserve">, (iv) the authorities on </w:t>
      </w:r>
      <w:r w:rsidR="00206958">
        <w:t xml:space="preserve">the </w:t>
      </w:r>
      <w:r w:rsidR="002A13EB">
        <w:t xml:space="preserve">scope of </w:t>
      </w:r>
      <w:r w:rsidR="00957AC4">
        <w:t xml:space="preserve">the </w:t>
      </w:r>
      <w:r w:rsidR="002A13EB">
        <w:t>power in</w:t>
      </w:r>
      <w:r w:rsidR="002A13EB" w:rsidRPr="002A13EB">
        <w:t xml:space="preserve"> </w:t>
      </w:r>
      <w:r w:rsidR="002A13EB">
        <w:t>CPR Part 44.2(6)(g), (v) discussion</w:t>
      </w:r>
      <w:r w:rsidR="006226A8">
        <w:t xml:space="preserve"> on the scope of the power in CPR Part 44.2(6)(g), (vi) </w:t>
      </w:r>
      <w:r w:rsidR="006226A8">
        <w:rPr>
          <w:i/>
          <w:iCs/>
        </w:rPr>
        <w:t>Hirachand</w:t>
      </w:r>
      <w:r w:rsidR="0063141F">
        <w:t>,</w:t>
      </w:r>
      <w:r w:rsidR="006226A8">
        <w:t xml:space="preserve"> (vii) discussion on the effect of </w:t>
      </w:r>
      <w:r w:rsidR="006226A8">
        <w:rPr>
          <w:i/>
          <w:iCs/>
        </w:rPr>
        <w:t>Hirachand</w:t>
      </w:r>
      <w:r w:rsidR="0063141F">
        <w:t>, and</w:t>
      </w:r>
      <w:r w:rsidR="00D61497">
        <w:t xml:space="preserve"> (viii) conclusions.</w:t>
      </w:r>
    </w:p>
    <w:p w14:paraId="28BC93BC" w14:textId="10A14CE7" w:rsidR="00730E44" w:rsidRDefault="008E3628" w:rsidP="00016F7F">
      <w:pPr>
        <w:pStyle w:val="ParaLevel1"/>
        <w:numPr>
          <w:ilvl w:val="0"/>
          <w:numId w:val="0"/>
        </w:numPr>
      </w:pPr>
      <w:r w:rsidRPr="008E3628">
        <w:rPr>
          <w:u w:val="single"/>
        </w:rPr>
        <w:t>T</w:t>
      </w:r>
      <w:r w:rsidR="00730E44" w:rsidRPr="008E3628">
        <w:rPr>
          <w:u w:val="single"/>
        </w:rPr>
        <w:t>he claimants’ litigation funding arrangements</w:t>
      </w:r>
      <w:r w:rsidR="00730E44">
        <w:t xml:space="preserve"> </w:t>
      </w:r>
    </w:p>
    <w:p w14:paraId="67320C69" w14:textId="373BC42A" w:rsidR="006C3F33" w:rsidRDefault="00042F93" w:rsidP="00016F7F">
      <w:pPr>
        <w:pStyle w:val="ParaLevel1"/>
      </w:pPr>
      <w:r>
        <w:t xml:space="preserve">Somewhat unusually, we were only shown indirect evidence as to the claimants’ funding arrangements. They were described in </w:t>
      </w:r>
      <w:r w:rsidR="00725FA2">
        <w:t xml:space="preserve">the context of the </w:t>
      </w:r>
      <w:r w:rsidR="00725FA2" w:rsidRPr="009C356F">
        <w:rPr>
          <w:i/>
          <w:iCs/>
        </w:rPr>
        <w:t>Pan NOx Emissions Group Litigation</w:t>
      </w:r>
      <w:r w:rsidR="00725FA2">
        <w:t xml:space="preserve"> </w:t>
      </w:r>
      <w:r w:rsidR="00AB2A4C">
        <w:t xml:space="preserve">as being applicable to the claimants’ solicitors’ entire portfolio of group litigation </w:t>
      </w:r>
      <w:r w:rsidR="006C3F33">
        <w:t xml:space="preserve">(see </w:t>
      </w:r>
      <w:r w:rsidR="00725FA2" w:rsidRPr="006C3F33">
        <w:rPr>
          <w:i/>
          <w:iCs/>
        </w:rPr>
        <w:t>Various Claimants v</w:t>
      </w:r>
      <w:r w:rsidR="006C3F33" w:rsidRPr="006C3F33">
        <w:rPr>
          <w:i/>
          <w:iCs/>
        </w:rPr>
        <w:t>.</w:t>
      </w:r>
      <w:r w:rsidR="00725FA2" w:rsidRPr="006C3F33">
        <w:rPr>
          <w:i/>
          <w:iCs/>
        </w:rPr>
        <w:t xml:space="preserve"> Mercedes-Benz Group AG</w:t>
      </w:r>
      <w:r w:rsidR="00725FA2" w:rsidRPr="006C3F33">
        <w:t xml:space="preserve"> [2024] EWHC 695 (KB)</w:t>
      </w:r>
      <w:r w:rsidR="006C3F33">
        <w:t xml:space="preserve"> per Cockerill </w:t>
      </w:r>
      <w:r w:rsidR="0033038F">
        <w:t>and Constable JJ</w:t>
      </w:r>
      <w:r w:rsidR="006C3F33">
        <w:t xml:space="preserve"> at [</w:t>
      </w:r>
      <w:r w:rsidR="00725FA2">
        <w:t>4</w:t>
      </w:r>
      <w:r w:rsidR="0099171F">
        <w:t>7</w:t>
      </w:r>
      <w:r w:rsidR="006C3F33">
        <w:t>]).</w:t>
      </w:r>
    </w:p>
    <w:p w14:paraId="61032273" w14:textId="5F6590F3" w:rsidR="000377F2" w:rsidRDefault="000377F2" w:rsidP="00016F7F">
      <w:pPr>
        <w:pStyle w:val="ParaLevel1"/>
      </w:pPr>
      <w:r>
        <w:t>The parts of t</w:t>
      </w:r>
      <w:r w:rsidR="0032726A">
        <w:t>hat passage</w:t>
      </w:r>
      <w:r w:rsidR="00BE0BC2">
        <w:t xml:space="preserve"> that are relevant</w:t>
      </w:r>
      <w:r w:rsidR="0032726A">
        <w:t xml:space="preserve"> to our case are taken from the evidence of Mr Goodhead as follows:</w:t>
      </w:r>
    </w:p>
    <w:p w14:paraId="25F765FC" w14:textId="08D8190B" w:rsidR="009931C0" w:rsidRDefault="0099171F" w:rsidP="00016F7F">
      <w:pPr>
        <w:pStyle w:val="ParaLevel1"/>
        <w:numPr>
          <w:ilvl w:val="0"/>
          <w:numId w:val="0"/>
        </w:numPr>
        <w:ind w:left="1134"/>
      </w:pPr>
      <w:r w:rsidRPr="0099171F">
        <w:t xml:space="preserve">I confirm in respect of each and every one of the Litigations </w:t>
      </w:r>
      <w:r w:rsidR="00BE0BC2">
        <w:t xml:space="preserve">[including this case] </w:t>
      </w:r>
      <w:r w:rsidRPr="0099171F">
        <w:t>that: (i) Pogust Goodhead acts for each of its clients pursuant to a Conditional Fee Agreement (“CFA”) within the meaning of section 58 of the Courts and Legal Services Act 1990; and (ii) There is no agreement between Pogust Goodhead’s clients and any third-party funder, pursuant to which a third-party funder has contributed or agreed to contribute to Pogust Goodhead’s clients’ costs in return for a share of any money or property which they may recover in the Litigations, or at all.</w:t>
      </w:r>
      <w:r w:rsidR="009931C0">
        <w:t xml:space="preserve"> … </w:t>
      </w:r>
    </w:p>
    <w:p w14:paraId="364C0065" w14:textId="77777777" w:rsidR="00CB1A11" w:rsidRDefault="0099171F" w:rsidP="00016F7F">
      <w:pPr>
        <w:pStyle w:val="ParaLevel1"/>
        <w:numPr>
          <w:ilvl w:val="0"/>
          <w:numId w:val="0"/>
        </w:numPr>
        <w:ind w:left="1134"/>
      </w:pPr>
      <w:r w:rsidRPr="0099171F">
        <w:t xml:space="preserve">Pogust Goodhead’s funding arrangements with third parties </w:t>
      </w:r>
      <w:r w:rsidR="0066575E">
        <w:t>…</w:t>
      </w:r>
      <w:r w:rsidR="00FF589A">
        <w:t xml:space="preserve"> </w:t>
      </w:r>
    </w:p>
    <w:p w14:paraId="577CCEC5" w14:textId="424398DC" w:rsidR="0099171F" w:rsidRPr="0099171F" w:rsidRDefault="0099171F" w:rsidP="00016F7F">
      <w:pPr>
        <w:pStyle w:val="ParaLevel1"/>
        <w:numPr>
          <w:ilvl w:val="0"/>
          <w:numId w:val="0"/>
        </w:numPr>
        <w:ind w:left="1134"/>
      </w:pPr>
      <w:r w:rsidRPr="0099171F">
        <w:t xml:space="preserve">This firm’s funding is provided by way of a secured loan in the form of a corporate debt facility of $552.5 million (the “Funding”) provided by Gramercy PG (UK) Holdings Ltd (“Gramercy UK”) with Gramercy Funds Management LLC (“Gramercy LLC”) acting as the investment manager for the debt facility. The Funding operates as a corporate debt facility whereby Pogust Goodhead makes regular drawdowns on an agreed cash flow basis which is subject to change. The funding is provided by Gramercy UK on a business-to-business basis to fund the operating expenditure of Pogust Goodhead. I confirm that the Funding is provided </w:t>
      </w:r>
      <w:proofErr w:type="gramStart"/>
      <w:r w:rsidRPr="0099171F">
        <w:t>on the basis of</w:t>
      </w:r>
      <w:proofErr w:type="gramEnd"/>
      <w:r w:rsidRPr="0099171F">
        <w:t xml:space="preserve"> a debt facility alone and does not involve equity investment. </w:t>
      </w:r>
    </w:p>
    <w:p w14:paraId="118A2C46" w14:textId="60BF9B10" w:rsidR="0099171F" w:rsidRPr="0099171F" w:rsidRDefault="0099171F" w:rsidP="00016F7F">
      <w:pPr>
        <w:pStyle w:val="ParaLevel1"/>
        <w:numPr>
          <w:ilvl w:val="0"/>
          <w:numId w:val="0"/>
        </w:numPr>
        <w:ind w:left="1134"/>
      </w:pPr>
      <w:r w:rsidRPr="0099171F">
        <w:t xml:space="preserve">Pogust Goodhead acts as a solicitor for clients in litigation. The Funding provides working capital which is used for all aspects of Pogust Goodhead’s work, including to use across its entire portfolio of cases </w:t>
      </w:r>
      <w:proofErr w:type="gramStart"/>
      <w:r w:rsidRPr="0099171F">
        <w:t>and also</w:t>
      </w:r>
      <w:proofErr w:type="gramEnd"/>
      <w:r w:rsidRPr="0099171F">
        <w:t xml:space="preserve"> in relation to its operating expenses. While it is of course true that a successful outcome in any of the cases on which Pogust Goodhead is instructed will assist Pogust Goodhead in repaying Gramercy UK, Gramercy UK must be repaid irrespective of the outcome of any of the Litigations relevant to the Applications.</w:t>
      </w:r>
    </w:p>
    <w:p w14:paraId="6C5A5B70" w14:textId="4487873A" w:rsidR="005F1DCA" w:rsidRDefault="0099171F" w:rsidP="00016F7F">
      <w:pPr>
        <w:pStyle w:val="ParaLevel1"/>
        <w:numPr>
          <w:ilvl w:val="0"/>
          <w:numId w:val="0"/>
        </w:numPr>
        <w:ind w:left="1134"/>
      </w:pPr>
      <w:r w:rsidRPr="0099171F">
        <w:t xml:space="preserve">Pogust Goodhead’s clients are not party to any agreement between Pogust Goodhead and Gramercy UK or Gramercy LLC. No agreement or relationship </w:t>
      </w:r>
      <w:r w:rsidRPr="0099171F">
        <w:lastRenderedPageBreak/>
        <w:t>exists or has ever existed between Gramercy UK or Gramercy LLC (or any previous funder) and Pogust Goodhead’s clients. Pogust Goodhead’s clients have no obligation to pay Gramercy UK, nor does Gramercy UK have any obligation to pay Pogust Goodhead’s clients’ costs.</w:t>
      </w:r>
    </w:p>
    <w:p w14:paraId="26FB995B" w14:textId="317CA393" w:rsidR="0099171F" w:rsidRDefault="0099171F" w:rsidP="00016F7F">
      <w:pPr>
        <w:pStyle w:val="ParaLevel1"/>
        <w:numPr>
          <w:ilvl w:val="0"/>
          <w:numId w:val="0"/>
        </w:numPr>
        <w:ind w:left="1134"/>
      </w:pPr>
      <w:r w:rsidRPr="0099171F">
        <w:t>As one would expect, Gramercy UK has put in place such security as would be appropriate for funding of the kind and scale provided, such as a charge over the firm’s assets. This does not alter the position that Gramercy UK has not entered into any agreement with Pogust Goodhead’s clients.</w:t>
      </w:r>
    </w:p>
    <w:p w14:paraId="299363E2" w14:textId="16E06B6D" w:rsidR="0030128D" w:rsidRDefault="008D3BF6" w:rsidP="00016F7F">
      <w:pPr>
        <w:pStyle w:val="ParaLevel1"/>
      </w:pPr>
      <w:r>
        <w:t xml:space="preserve">Both sides asked us to assume that the claimants in this case had entered into </w:t>
      </w:r>
      <w:r w:rsidR="00B97971">
        <w:t>CFAs with their solicitors, Pogus</w:t>
      </w:r>
      <w:r w:rsidR="00B42B02">
        <w:t>t</w:t>
      </w:r>
      <w:r w:rsidR="00B97971">
        <w:t xml:space="preserve"> Goodhead</w:t>
      </w:r>
      <w:r w:rsidR="000C0CE9">
        <w:t xml:space="preserve">, under the terms of which (which we were not shown) the claimants </w:t>
      </w:r>
      <w:r w:rsidR="00BB444F">
        <w:t>we</w:t>
      </w:r>
      <w:r w:rsidR="000C0CE9">
        <w:t xml:space="preserve">re liable, upon the success of their claims, to pay </w:t>
      </w:r>
      <w:r w:rsidR="0056410E">
        <w:t>the</w:t>
      </w:r>
      <w:r w:rsidR="00B44BDA">
        <w:t>ir</w:t>
      </w:r>
      <w:r w:rsidR="00B97971">
        <w:t xml:space="preserve"> solicitors’ base costs</w:t>
      </w:r>
      <w:r w:rsidR="0056410E">
        <w:t xml:space="preserve"> together with </w:t>
      </w:r>
      <w:r w:rsidR="00B44BDA">
        <w:t xml:space="preserve">a </w:t>
      </w:r>
      <w:r w:rsidR="00B97971">
        <w:t xml:space="preserve">success fee. The judge described </w:t>
      </w:r>
      <w:r w:rsidR="00EF1FF2">
        <w:t xml:space="preserve">at [51] that </w:t>
      </w:r>
      <w:r w:rsidR="00B97971">
        <w:t>success fee as “reflecting the costs of funding the litigation</w:t>
      </w:r>
      <w:r w:rsidR="00D710F0">
        <w:t>”</w:t>
      </w:r>
      <w:r w:rsidR="00B97971">
        <w:t xml:space="preserve">. </w:t>
      </w:r>
      <w:r w:rsidR="00626441">
        <w:t>BHP accepted</w:t>
      </w:r>
      <w:r w:rsidR="00B97971">
        <w:t xml:space="preserve"> that success fees payable under CFA</w:t>
      </w:r>
      <w:r w:rsidR="00297CD2">
        <w:t>s</w:t>
      </w:r>
      <w:r w:rsidR="00B97971">
        <w:t xml:space="preserve"> will generally involve </w:t>
      </w:r>
      <w:r w:rsidR="00297CD2">
        <w:t>an</w:t>
      </w:r>
      <w:r w:rsidR="00B97971">
        <w:t xml:space="preserve"> element of compensation for funding costs by solicitors. </w:t>
      </w:r>
      <w:r w:rsidR="006123ED">
        <w:t xml:space="preserve">In my judgment, therefore, we </w:t>
      </w:r>
      <w:proofErr w:type="gramStart"/>
      <w:r w:rsidR="006123ED">
        <w:t>are able to</w:t>
      </w:r>
      <w:proofErr w:type="gramEnd"/>
      <w:r w:rsidR="006123ED">
        <w:t xml:space="preserve"> assume that </w:t>
      </w:r>
      <w:r w:rsidR="00B97971">
        <w:t>the success fee</w:t>
      </w:r>
      <w:r w:rsidR="006123ED">
        <w:t xml:space="preserve">s in this case </w:t>
      </w:r>
      <w:r w:rsidR="00BF1884">
        <w:t>are</w:t>
      </w:r>
      <w:r w:rsidR="006123ED">
        <w:t xml:space="preserve"> intended,</w:t>
      </w:r>
      <w:r w:rsidR="00B97971">
        <w:t xml:space="preserve"> at least in part, </w:t>
      </w:r>
      <w:r w:rsidR="006123ED">
        <w:t>t</w:t>
      </w:r>
      <w:r w:rsidR="00B97971">
        <w:t>o compensate the</w:t>
      </w:r>
      <w:r w:rsidR="006123ED">
        <w:t xml:space="preserve"> claimants’</w:t>
      </w:r>
      <w:r w:rsidR="00B97971">
        <w:t xml:space="preserve"> solicitors for the funding costs they have incurred in providing legal services</w:t>
      </w:r>
      <w:r w:rsidR="0030128D">
        <w:t xml:space="preserve"> to the claimants without cost.</w:t>
      </w:r>
    </w:p>
    <w:p w14:paraId="58343C63" w14:textId="3D61BE61" w:rsidR="008E3628" w:rsidRDefault="008E3628" w:rsidP="00016F7F">
      <w:pPr>
        <w:pStyle w:val="ParaLevel1"/>
        <w:numPr>
          <w:ilvl w:val="0"/>
          <w:numId w:val="0"/>
        </w:numPr>
      </w:pPr>
      <w:r w:rsidRPr="008E3628">
        <w:rPr>
          <w:u w:val="single"/>
        </w:rPr>
        <w:t>T</w:t>
      </w:r>
      <w:r w:rsidR="00730E44" w:rsidRPr="008E3628">
        <w:rPr>
          <w:u w:val="single"/>
        </w:rPr>
        <w:t xml:space="preserve">he relevant </w:t>
      </w:r>
      <w:r w:rsidR="006C37C0">
        <w:rPr>
          <w:u w:val="single"/>
        </w:rPr>
        <w:t xml:space="preserve">legislative and other </w:t>
      </w:r>
      <w:r w:rsidR="00730E44" w:rsidRPr="008E3628">
        <w:rPr>
          <w:u w:val="single"/>
        </w:rPr>
        <w:t>history</w:t>
      </w:r>
    </w:p>
    <w:p w14:paraId="20FCEF1E" w14:textId="0981EA3E" w:rsidR="00341FCA" w:rsidRPr="00B5166F" w:rsidRDefault="000025AD" w:rsidP="00016F7F">
      <w:pPr>
        <w:pStyle w:val="ParaLevel1"/>
      </w:pPr>
      <w:r>
        <w:t>S</w:t>
      </w:r>
      <w:r w:rsidR="00031394">
        <w:t xml:space="preserve">ection 17(1) of the Judgments Act 1838 </w:t>
      </w:r>
      <w:r w:rsidR="00BB1EE3">
        <w:t xml:space="preserve">(section 17) </w:t>
      </w:r>
      <w:r w:rsidR="001C69DB">
        <w:t xml:space="preserve">originally </w:t>
      </w:r>
      <w:r w:rsidR="00031394">
        <w:t>provide</w:t>
      </w:r>
      <w:r w:rsidR="001C69DB">
        <w:t>d</w:t>
      </w:r>
      <w:r w:rsidR="00031394">
        <w:t xml:space="preserve"> that: “</w:t>
      </w:r>
      <w:r w:rsidR="00884527">
        <w:t xml:space="preserve">… </w:t>
      </w:r>
      <w:r w:rsidR="00031394">
        <w:t xml:space="preserve">every judgment debt shall carry interest at the rate of </w:t>
      </w:r>
      <w:r w:rsidR="00A83F2D">
        <w:t>[</w:t>
      </w:r>
      <w:r w:rsidR="00341FCA">
        <w:t>8</w:t>
      </w:r>
      <w:r w:rsidR="00A83F2D">
        <w:t>]</w:t>
      </w:r>
      <w:r w:rsidR="00031394">
        <w:t xml:space="preserve"> pounds per centum per annum from </w:t>
      </w:r>
      <w:r w:rsidR="007B023D">
        <w:t xml:space="preserve">the time of entering up the judgment </w:t>
      </w:r>
      <w:r w:rsidR="001B584C">
        <w:t xml:space="preserve">… </w:t>
      </w:r>
      <w:r w:rsidR="007B023D">
        <w:t xml:space="preserve">until </w:t>
      </w:r>
      <w:r w:rsidR="00031394">
        <w:t>the same</w:t>
      </w:r>
      <w:r w:rsidR="00341FCA">
        <w:t xml:space="preserve"> </w:t>
      </w:r>
      <w:r w:rsidR="00031394">
        <w:t>shall be satisfied</w:t>
      </w:r>
      <w:r w:rsidR="00910D69">
        <w:t xml:space="preserve"> …</w:t>
      </w:r>
      <w:r w:rsidR="00341FCA">
        <w:t>”.</w:t>
      </w:r>
      <w:r w:rsidR="000412C8">
        <w:t xml:space="preserve"> </w:t>
      </w:r>
      <w:r w:rsidR="002F65C6">
        <w:t>Section 17</w:t>
      </w:r>
      <w:r w:rsidR="000412C8">
        <w:t xml:space="preserve"> </w:t>
      </w:r>
      <w:r w:rsidR="0081633E">
        <w:t>relate</w:t>
      </w:r>
      <w:r w:rsidR="0073255C">
        <w:t>d</w:t>
      </w:r>
      <w:r w:rsidR="00503785">
        <w:t xml:space="preserve"> at that stage</w:t>
      </w:r>
      <w:r w:rsidR="0081633E">
        <w:t xml:space="preserve">, of course, only to </w:t>
      </w:r>
      <w:r w:rsidR="0081633E" w:rsidRPr="0059285F">
        <w:rPr>
          <w:b/>
          <w:bCs/>
        </w:rPr>
        <w:t>post</w:t>
      </w:r>
      <w:r w:rsidR="0081633E">
        <w:t>-judgment interest</w:t>
      </w:r>
      <w:r w:rsidR="00E565C2">
        <w:t xml:space="preserve">. </w:t>
      </w:r>
      <w:r w:rsidR="00355969">
        <w:t xml:space="preserve">In </w:t>
      </w:r>
      <w:r w:rsidR="00631056" w:rsidRPr="00631056">
        <w:rPr>
          <w:i/>
          <w:iCs/>
        </w:rPr>
        <w:t xml:space="preserve">Hunt v. </w:t>
      </w:r>
      <w:r w:rsidR="00355969" w:rsidRPr="00631056">
        <w:rPr>
          <w:i/>
          <w:iCs/>
        </w:rPr>
        <w:t>RM Douglas (Roofing) Ltd</w:t>
      </w:r>
      <w:r w:rsidR="00631056">
        <w:t xml:space="preserve"> </w:t>
      </w:r>
      <w:r w:rsidR="00EE05C8">
        <w:t xml:space="preserve">[1990] </w:t>
      </w:r>
      <w:r w:rsidR="00DE383A">
        <w:t xml:space="preserve">1 </w:t>
      </w:r>
      <w:r w:rsidR="00EE05C8">
        <w:t>AC 398</w:t>
      </w:r>
      <w:r w:rsidR="00D81535">
        <w:t xml:space="preserve"> per Lord Ackner at pages 415E-</w:t>
      </w:r>
      <w:r w:rsidR="00704FBD">
        <w:t>416C</w:t>
      </w:r>
      <w:r w:rsidR="00F133DC">
        <w:t xml:space="preserve"> (</w:t>
      </w:r>
      <w:r w:rsidR="00F133DC">
        <w:rPr>
          <w:i/>
          <w:iCs/>
        </w:rPr>
        <w:t>Hunt</w:t>
      </w:r>
      <w:r w:rsidR="00B5166F">
        <w:rPr>
          <w:i/>
          <w:iCs/>
        </w:rPr>
        <w:t xml:space="preserve"> HL</w:t>
      </w:r>
      <w:r w:rsidR="00F133DC">
        <w:t>)</w:t>
      </w:r>
      <w:r w:rsidR="00EE05C8">
        <w:t xml:space="preserve">, the House of Lords </w:t>
      </w:r>
      <w:r w:rsidR="00BB1EE3">
        <w:t xml:space="preserve">decided </w:t>
      </w:r>
      <w:r w:rsidR="0059497C">
        <w:t xml:space="preserve">both </w:t>
      </w:r>
      <w:r w:rsidR="00EE05C8">
        <w:t xml:space="preserve">that </w:t>
      </w:r>
      <w:r w:rsidR="00BB1EE3">
        <w:t xml:space="preserve">section 17 applied to orders for costs and that post-judgment interest on such orders ran from the date of the judgment </w:t>
      </w:r>
      <w:r w:rsidR="00D95207">
        <w:t xml:space="preserve">(the </w:t>
      </w:r>
      <w:r w:rsidR="006F46B0">
        <w:t xml:space="preserve">so-called </w:t>
      </w:r>
      <w:r w:rsidR="00FB7A09">
        <w:rPr>
          <w:i/>
        </w:rPr>
        <w:t>incipitur</w:t>
      </w:r>
      <w:r w:rsidR="00FB7A09">
        <w:rPr>
          <w:iCs/>
        </w:rPr>
        <w:t xml:space="preserve">), and </w:t>
      </w:r>
      <w:r w:rsidR="00FB7A09" w:rsidRPr="00D92687">
        <w:rPr>
          <w:b/>
          <w:bCs/>
          <w:iCs/>
        </w:rPr>
        <w:t>not</w:t>
      </w:r>
      <w:r w:rsidR="00FB7A09">
        <w:rPr>
          <w:iCs/>
        </w:rPr>
        <w:t xml:space="preserve"> </w:t>
      </w:r>
      <w:r w:rsidR="00F133DC">
        <w:rPr>
          <w:iCs/>
        </w:rPr>
        <w:t xml:space="preserve">(as previously thought) </w:t>
      </w:r>
      <w:r w:rsidR="00FB7A09">
        <w:rPr>
          <w:iCs/>
        </w:rPr>
        <w:t xml:space="preserve">from the date of the </w:t>
      </w:r>
      <w:proofErr w:type="gramStart"/>
      <w:r w:rsidR="006A5DB4">
        <w:rPr>
          <w:iCs/>
        </w:rPr>
        <w:t>Master’s</w:t>
      </w:r>
      <w:proofErr w:type="gramEnd"/>
      <w:r w:rsidR="006A5DB4">
        <w:rPr>
          <w:iCs/>
        </w:rPr>
        <w:t xml:space="preserve"> certificate at the end of the taxation of those costs (the so-called </w:t>
      </w:r>
      <w:r w:rsidR="006A5DB4">
        <w:rPr>
          <w:i/>
        </w:rPr>
        <w:t>allocatur</w:t>
      </w:r>
      <w:r w:rsidR="006A5DB4">
        <w:rPr>
          <w:iCs/>
        </w:rPr>
        <w:t>)</w:t>
      </w:r>
      <w:r w:rsidR="00F133DC">
        <w:rPr>
          <w:iCs/>
        </w:rPr>
        <w:t>.</w:t>
      </w:r>
    </w:p>
    <w:p w14:paraId="426A043E" w14:textId="60A33A4C" w:rsidR="005B25B3" w:rsidRDefault="007C28CF" w:rsidP="00016F7F">
      <w:pPr>
        <w:pStyle w:val="ParaLevel1"/>
      </w:pPr>
      <w:r w:rsidRPr="00E84086">
        <w:rPr>
          <w:iCs/>
        </w:rPr>
        <w:t xml:space="preserve">Purchas LJ </w:t>
      </w:r>
      <w:r w:rsidR="00476503" w:rsidRPr="00E84086">
        <w:rPr>
          <w:iCs/>
        </w:rPr>
        <w:t xml:space="preserve">(with whom </w:t>
      </w:r>
      <w:r w:rsidR="005544EE" w:rsidRPr="00E84086">
        <w:rPr>
          <w:iCs/>
        </w:rPr>
        <w:t>Croom Johnson and Nourse LJJ agreed)</w:t>
      </w:r>
      <w:r w:rsidR="00B5166F" w:rsidRPr="00E84086">
        <w:rPr>
          <w:iCs/>
        </w:rPr>
        <w:t xml:space="preserve"> had held</w:t>
      </w:r>
      <w:r w:rsidR="00F04E9C" w:rsidRPr="00E84086">
        <w:rPr>
          <w:iCs/>
        </w:rPr>
        <w:t xml:space="preserve"> </w:t>
      </w:r>
      <w:r w:rsidR="00EF3B21" w:rsidRPr="00E84086">
        <w:rPr>
          <w:iCs/>
        </w:rPr>
        <w:t>(</w:t>
      </w:r>
      <w:r w:rsidR="00F04E9C" w:rsidRPr="00E84086">
        <w:rPr>
          <w:iCs/>
        </w:rPr>
        <w:t>quite separately</w:t>
      </w:r>
      <w:r w:rsidR="00EF3B21" w:rsidRPr="00E84086">
        <w:rPr>
          <w:iCs/>
        </w:rPr>
        <w:t xml:space="preserve"> from </w:t>
      </w:r>
      <w:r w:rsidR="00EF3B21" w:rsidRPr="00E84086">
        <w:rPr>
          <w:i/>
        </w:rPr>
        <w:t>Hunt HL</w:t>
      </w:r>
      <w:r w:rsidR="00EF3B21" w:rsidRPr="00E84086">
        <w:rPr>
          <w:iCs/>
        </w:rPr>
        <w:t>)</w:t>
      </w:r>
      <w:r w:rsidR="00B5166F" w:rsidRPr="00E84086">
        <w:rPr>
          <w:iCs/>
        </w:rPr>
        <w:t xml:space="preserve"> in </w:t>
      </w:r>
      <w:r w:rsidR="00B5166F" w:rsidRPr="00E84086">
        <w:rPr>
          <w:i/>
          <w:iCs/>
        </w:rPr>
        <w:t>Hunt v. RM Douglas (Roofing) Ltd</w:t>
      </w:r>
      <w:r w:rsidR="000F3EA5">
        <w:t xml:space="preserve"> </w:t>
      </w:r>
      <w:r w:rsidR="00FD2AFB" w:rsidRPr="00FD2AFB">
        <w:t>(1988) 85(3) LSG 33</w:t>
      </w:r>
      <w:r w:rsidR="00665EF3">
        <w:t xml:space="preserve">, </w:t>
      </w:r>
      <w:r w:rsidR="00E921F3" w:rsidRPr="00E921F3">
        <w:t>(1987) 137 NLJ 1133</w:t>
      </w:r>
      <w:r>
        <w:t xml:space="preserve"> at page 20</w:t>
      </w:r>
      <w:r w:rsidR="00016192">
        <w:t xml:space="preserve"> (</w:t>
      </w:r>
      <w:r w:rsidR="00016192" w:rsidRPr="00E84086">
        <w:rPr>
          <w:i/>
          <w:iCs/>
        </w:rPr>
        <w:t>Hunt CA</w:t>
      </w:r>
      <w:r w:rsidR="00016192">
        <w:t>) that</w:t>
      </w:r>
      <w:r w:rsidR="007B4A45">
        <w:t xml:space="preserve"> funding costs could not be claimed as costs</w:t>
      </w:r>
      <w:r w:rsidR="00FF6545">
        <w:t>. He said that</w:t>
      </w:r>
      <w:r w:rsidR="00E071D4">
        <w:t xml:space="preserve">: “… </w:t>
      </w:r>
      <w:r w:rsidR="005B25B3">
        <w:t>by</w:t>
      </w:r>
      <w:r w:rsidR="00E071D4">
        <w:t xml:space="preserve"> </w:t>
      </w:r>
      <w:r w:rsidR="005B25B3">
        <w:t>established practice and custom funding costs have never been included in the category of</w:t>
      </w:r>
      <w:r w:rsidR="00E071D4">
        <w:t xml:space="preserve"> </w:t>
      </w:r>
      <w:r w:rsidR="005B25B3">
        <w:t xml:space="preserve">expenses, costs or disbursements envisaged by the statute and </w:t>
      </w:r>
      <w:r w:rsidR="00516797">
        <w:t>[Rules of the Supreme Court Order]</w:t>
      </w:r>
      <w:r w:rsidR="00E84086">
        <w:t xml:space="preserve"> … </w:t>
      </w:r>
      <w:r w:rsidR="005B25B3">
        <w:t>To include t</w:t>
      </w:r>
      <w:r w:rsidR="00AE0E8E">
        <w:t>hem</w:t>
      </w:r>
      <w:r w:rsidR="00E84086">
        <w:t xml:space="preserve"> </w:t>
      </w:r>
      <w:r w:rsidR="005B25B3">
        <w:t>would constitute an extension of the existing category of “legal costs” which is not under the</w:t>
      </w:r>
      <w:r w:rsidR="00E84086">
        <w:t xml:space="preserve"> </w:t>
      </w:r>
      <w:r w:rsidR="005B25B3">
        <w:t>prevailing circumstances warranted</w:t>
      </w:r>
      <w:r w:rsidR="00E84086">
        <w:t>”</w:t>
      </w:r>
      <w:r w:rsidR="005B25B3">
        <w:t>.</w:t>
      </w:r>
    </w:p>
    <w:p w14:paraId="325F79E1" w14:textId="35DCCF69" w:rsidR="00531FA8" w:rsidRDefault="004A3F20" w:rsidP="00016F7F">
      <w:pPr>
        <w:pStyle w:val="ParaLevel1"/>
      </w:pPr>
      <w:r>
        <w:t xml:space="preserve">When CFAs were </w:t>
      </w:r>
      <w:r w:rsidR="008E1418">
        <w:t xml:space="preserve">first </w:t>
      </w:r>
      <w:r w:rsidR="00D939A3">
        <w:t>allowed</w:t>
      </w:r>
      <w:r>
        <w:t xml:space="preserve"> by the</w:t>
      </w:r>
      <w:r w:rsidR="00531FA8">
        <w:t xml:space="preserve"> Courts and Legal Services Act 1990 (the 1990 Act), section 58(8) of the 1990 Act provided that</w:t>
      </w:r>
      <w:r w:rsidR="00BE23FF">
        <w:t>:</w:t>
      </w:r>
    </w:p>
    <w:p w14:paraId="1C7903E0" w14:textId="16E96EA8" w:rsidR="00BE23FF" w:rsidRDefault="00BE23FF" w:rsidP="00016F7F">
      <w:pPr>
        <w:pStyle w:val="ParaLevel1"/>
        <w:numPr>
          <w:ilvl w:val="0"/>
          <w:numId w:val="0"/>
        </w:numPr>
        <w:ind w:left="1134"/>
      </w:pPr>
      <w:r>
        <w:t>Where a party to any proceedings has entered into a conditional fee agreement and a costs order is made in those proceedings in his favour, the costs payable to him shall</w:t>
      </w:r>
      <w:r w:rsidR="00B1695E">
        <w:t xml:space="preserve"> </w:t>
      </w:r>
      <w:r>
        <w:t>not include any element which takes account of any percentage increase payable under the agreement.</w:t>
      </w:r>
    </w:p>
    <w:p w14:paraId="1F2E3CC0" w14:textId="6AB6C786" w:rsidR="00225982" w:rsidRDefault="00225982" w:rsidP="00016F7F">
      <w:pPr>
        <w:pStyle w:val="ParaLevel1"/>
        <w:numPr>
          <w:ilvl w:val="0"/>
          <w:numId w:val="0"/>
        </w:numPr>
        <w:ind w:left="720"/>
      </w:pPr>
      <w:r>
        <w:t xml:space="preserve">Section 58(8) was repealed on 1 April </w:t>
      </w:r>
      <w:r w:rsidR="009067BA">
        <w:t>2000.</w:t>
      </w:r>
    </w:p>
    <w:p w14:paraId="7863D5BC" w14:textId="6E090F4D" w:rsidR="005A4F6E" w:rsidRPr="005A4F6E" w:rsidRDefault="00157861" w:rsidP="00016F7F">
      <w:pPr>
        <w:pStyle w:val="ParaLevel1"/>
      </w:pPr>
      <w:r>
        <w:lastRenderedPageBreak/>
        <w:t xml:space="preserve">Just before section 58(8) was repealed, </w:t>
      </w:r>
      <w:r w:rsidR="008702CF">
        <w:t>two important changes were made. First,</w:t>
      </w:r>
      <w:r w:rsidR="00DB71E2">
        <w:t xml:space="preserve"> section 17 was amended</w:t>
      </w:r>
      <w:r w:rsidR="00ED5230">
        <w:t xml:space="preserve"> </w:t>
      </w:r>
      <w:r w:rsidR="00DD51C4">
        <w:t>with effect</w:t>
      </w:r>
      <w:r w:rsidR="001B4F3E">
        <w:t xml:space="preserve"> from 26 April 1999 by </w:t>
      </w:r>
      <w:r w:rsidR="00DD51C4">
        <w:t>a</w:t>
      </w:r>
      <w:r w:rsidR="001B4F3E">
        <w:t xml:space="preserve">rticle 3(b) of the </w:t>
      </w:r>
      <w:r w:rsidR="001B4F3E" w:rsidRPr="00DD51C4">
        <w:rPr>
          <w:iCs/>
          <w:u w:color="000000"/>
        </w:rPr>
        <w:t>Civil Procedure</w:t>
      </w:r>
      <w:r w:rsidR="001B4F3E" w:rsidRPr="00DD51C4">
        <w:rPr>
          <w:iCs/>
        </w:rPr>
        <w:t xml:space="preserve"> </w:t>
      </w:r>
      <w:r w:rsidR="001B4F3E" w:rsidRPr="00DD51C4">
        <w:rPr>
          <w:iCs/>
          <w:u w:color="000000"/>
        </w:rPr>
        <w:t>(Modification of Enactments) Order 1998</w:t>
      </w:r>
      <w:r w:rsidR="001B4F3E">
        <w:t xml:space="preserve"> </w:t>
      </w:r>
      <w:r w:rsidR="00DD51C4">
        <w:t>(</w:t>
      </w:r>
      <w:r w:rsidR="001B4F3E">
        <w:t xml:space="preserve">made under </w:t>
      </w:r>
      <w:r w:rsidR="00DD51C4">
        <w:t xml:space="preserve">section </w:t>
      </w:r>
      <w:r w:rsidR="001B4F3E" w:rsidRPr="00DD51C4">
        <w:rPr>
          <w:iCs/>
          <w:u w:color="000000"/>
        </w:rPr>
        <w:t>4(2)</w:t>
      </w:r>
      <w:r w:rsidR="00DD51C4">
        <w:rPr>
          <w:iCs/>
          <w:u w:color="000000"/>
        </w:rPr>
        <w:t xml:space="preserve"> of the</w:t>
      </w:r>
      <w:r w:rsidR="001B4F3E" w:rsidRPr="00DD51C4">
        <w:rPr>
          <w:iCs/>
          <w:u w:color="000000"/>
        </w:rPr>
        <w:t xml:space="preserve"> Civil</w:t>
      </w:r>
      <w:r w:rsidR="001B4F3E" w:rsidRPr="00DD51C4">
        <w:rPr>
          <w:iCs/>
        </w:rPr>
        <w:t xml:space="preserve"> </w:t>
      </w:r>
      <w:r w:rsidR="001B4F3E" w:rsidRPr="00DD51C4">
        <w:rPr>
          <w:iCs/>
          <w:u w:color="000000"/>
        </w:rPr>
        <w:t>Procedure Act 1997</w:t>
      </w:r>
      <w:r w:rsidR="00DD51C4">
        <w:rPr>
          <w:iCs/>
          <w:u w:color="000000"/>
        </w:rPr>
        <w:t>)</w:t>
      </w:r>
      <w:r w:rsidR="00204E1F">
        <w:rPr>
          <w:iCs/>
          <w:u w:color="000000"/>
        </w:rPr>
        <w:t>. The amended section 17 provides as follows:</w:t>
      </w:r>
    </w:p>
    <w:p w14:paraId="1E6271A8" w14:textId="541661ED" w:rsidR="001B4F3E" w:rsidRDefault="00A30014" w:rsidP="00016F7F">
      <w:pPr>
        <w:pStyle w:val="ParaLevel1"/>
        <w:numPr>
          <w:ilvl w:val="0"/>
          <w:numId w:val="0"/>
        </w:numPr>
        <w:ind w:left="1134"/>
      </w:pPr>
      <w:r>
        <w:t>E</w:t>
      </w:r>
      <w:r w:rsidR="0053768B">
        <w:t>very judgment debt shal</w:t>
      </w:r>
      <w:r w:rsidR="0053768B" w:rsidRPr="00A30014">
        <w:t xml:space="preserve">l carry interest at the rate of 8 pounds per centum per annum </w:t>
      </w:r>
      <w:r w:rsidR="001B4F3E" w:rsidRPr="00A30014">
        <w:rPr>
          <w:u w:color="000000"/>
        </w:rPr>
        <w:t>from such time</w:t>
      </w:r>
      <w:r w:rsidR="001B4F3E" w:rsidRPr="00A30014">
        <w:t xml:space="preserve"> </w:t>
      </w:r>
      <w:r w:rsidR="001B4F3E" w:rsidRPr="00A30014">
        <w:rPr>
          <w:u w:color="000000"/>
        </w:rPr>
        <w:t>as shall be prescribed by rules of court</w:t>
      </w:r>
      <w:r w:rsidR="001B4F3E" w:rsidRPr="00A30014">
        <w:t xml:space="preserve"> until the same shall be satisfied</w:t>
      </w:r>
      <w:r w:rsidRPr="00A30014">
        <w:t xml:space="preserve"> </w:t>
      </w:r>
      <w:r w:rsidR="001B4F3E" w:rsidRPr="00A30014">
        <w:t>…</w:t>
      </w:r>
    </w:p>
    <w:p w14:paraId="615A3FB1" w14:textId="0156E3FE" w:rsidR="001B4F3E" w:rsidRDefault="0057620C" w:rsidP="00016F7F">
      <w:pPr>
        <w:pStyle w:val="ParaLevel1"/>
      </w:pPr>
      <w:r>
        <w:t xml:space="preserve">Secondly, </w:t>
      </w:r>
      <w:r w:rsidR="00524202">
        <w:t xml:space="preserve">in 1999, </w:t>
      </w:r>
      <w:r w:rsidR="00FE61CA">
        <w:t xml:space="preserve">the new CPR </w:t>
      </w:r>
      <w:r w:rsidR="00CE3F5D">
        <w:t>Part</w:t>
      </w:r>
      <w:r w:rsidR="003F00CA" w:rsidRPr="003F00CA">
        <w:t xml:space="preserve"> </w:t>
      </w:r>
      <w:r w:rsidR="00773B7D">
        <w:t>44</w:t>
      </w:r>
      <w:r w:rsidR="00753B3A">
        <w:t>.2</w:t>
      </w:r>
      <w:r w:rsidR="00773B7D">
        <w:t>(6)</w:t>
      </w:r>
      <w:r w:rsidR="00753B3A">
        <w:t>(g)</w:t>
      </w:r>
      <w:r w:rsidR="004133C1">
        <w:t xml:space="preserve"> was introduced </w:t>
      </w:r>
      <w:r w:rsidR="003379DF">
        <w:t xml:space="preserve">allowing </w:t>
      </w:r>
      <w:r w:rsidR="004133C1">
        <w:t>for pre-judgment interest</w:t>
      </w:r>
      <w:r w:rsidR="003379DF">
        <w:t xml:space="preserve"> on costs</w:t>
      </w:r>
      <w:r w:rsidR="005C646E">
        <w:t xml:space="preserve"> by including </w:t>
      </w:r>
      <w:r w:rsidR="003379DF">
        <w:t>a provision</w:t>
      </w:r>
      <w:r w:rsidR="00753B3A">
        <w:t xml:space="preserve"> that </w:t>
      </w:r>
      <w:r w:rsidR="007D5CD7">
        <w:t>“[</w:t>
      </w:r>
      <w:r w:rsidR="001D6B20">
        <w:t>t]</w:t>
      </w:r>
      <w:r w:rsidR="003F00CA">
        <w:t>he orders which the court may make under this rule include an order that a party must pay</w:t>
      </w:r>
      <w:r w:rsidR="001F2E31">
        <w:t xml:space="preserve"> </w:t>
      </w:r>
      <w:r w:rsidR="00301D56">
        <w:t>… (</w:t>
      </w:r>
      <w:r w:rsidR="003F00CA">
        <w:t>g) interest on costs from or until a certain date, including a date before judgment</w:t>
      </w:r>
      <w:r w:rsidR="004505D9">
        <w:t>”.</w:t>
      </w:r>
    </w:p>
    <w:p w14:paraId="4C0AD857" w14:textId="61B7B6EE" w:rsidR="00D36545" w:rsidRDefault="00512483" w:rsidP="00016F7F">
      <w:pPr>
        <w:pStyle w:val="ParaLevel1"/>
      </w:pPr>
      <w:r>
        <w:t>S</w:t>
      </w:r>
      <w:r w:rsidR="004773A7">
        <w:t xml:space="preserve">ection </w:t>
      </w:r>
      <w:r>
        <w:t>58</w:t>
      </w:r>
      <w:proofErr w:type="gramStart"/>
      <w:r>
        <w:t>A(</w:t>
      </w:r>
      <w:proofErr w:type="gramEnd"/>
      <w:r>
        <w:t>6) was introduced with effect from 1 April 2000 to permit the recoverability of success fees as between the parties. It did so by providing that</w:t>
      </w:r>
      <w:r w:rsidR="006D1D2A">
        <w:t>:</w:t>
      </w:r>
      <w:r>
        <w:t xml:space="preserve"> </w:t>
      </w:r>
    </w:p>
    <w:p w14:paraId="28D41A5B" w14:textId="31164DA3" w:rsidR="00512483" w:rsidRPr="00F84386" w:rsidRDefault="00D36545" w:rsidP="00016F7F">
      <w:pPr>
        <w:pStyle w:val="ParaLevel1"/>
        <w:numPr>
          <w:ilvl w:val="0"/>
          <w:numId w:val="0"/>
        </w:numPr>
        <w:ind w:left="1134"/>
        <w:rPr>
          <w:iCs/>
        </w:rPr>
      </w:pPr>
      <w:r w:rsidRPr="00B62C1F">
        <w:t>A</w:t>
      </w:r>
      <w:r w:rsidR="00512483" w:rsidRPr="00B62C1F">
        <w:t xml:space="preserve"> costs order made in any proceedings </w:t>
      </w:r>
      <w:r w:rsidR="00512483" w:rsidRPr="00B62C1F">
        <w:rPr>
          <w:u w:color="000000"/>
        </w:rPr>
        <w:t>may</w:t>
      </w:r>
      <w:r w:rsidR="00512483" w:rsidRPr="00B62C1F">
        <w:t>, subject in the case of court proceedings to rules of court, include provision requiring the payment of any fees payable under a conditional fee agreement which provided for a success fee</w:t>
      </w:r>
      <w:r w:rsidR="00B62C1F">
        <w:t>.</w:t>
      </w:r>
    </w:p>
    <w:p w14:paraId="3AB2D638" w14:textId="58EA4014" w:rsidR="00F7431A" w:rsidRDefault="00712C63" w:rsidP="00016F7F">
      <w:pPr>
        <w:pStyle w:val="ParaLevel1"/>
      </w:pPr>
      <w:r>
        <w:t xml:space="preserve">In December 2009, </w:t>
      </w:r>
      <w:r w:rsidR="00F7431A">
        <w:t>Lord Justice Jackson</w:t>
      </w:r>
      <w:r>
        <w:t xml:space="preserve">’s Final Report </w:t>
      </w:r>
      <w:r w:rsidR="009236A6">
        <w:t>in his Review of Civil Litigation Costs recommended a package of measures including that</w:t>
      </w:r>
      <w:r w:rsidR="0022567C">
        <w:t xml:space="preserve"> “the two key drivers of costs</w:t>
      </w:r>
      <w:r w:rsidR="00D7194D">
        <w:t>” under CFAs</w:t>
      </w:r>
      <w:r w:rsidR="001D1616">
        <w:t xml:space="preserve">, namely the </w:t>
      </w:r>
      <w:r w:rsidR="00743A68">
        <w:t>lawyer’s success fee</w:t>
      </w:r>
      <w:r w:rsidR="001D1616">
        <w:t xml:space="preserve">, and the </w:t>
      </w:r>
      <w:r w:rsidR="00743A68">
        <w:t>after-the-event (ATE) insurance premium</w:t>
      </w:r>
      <w:r w:rsidR="00CB287C">
        <w:t>,</w:t>
      </w:r>
      <w:r w:rsidR="00743A68">
        <w:t xml:space="preserve"> </w:t>
      </w:r>
      <w:r w:rsidR="000A5BC8">
        <w:t xml:space="preserve">should no longer be recoverable from an </w:t>
      </w:r>
      <w:r w:rsidR="00743A68">
        <w:t>unsuccessful defendant</w:t>
      </w:r>
      <w:r w:rsidR="003C0815">
        <w:t xml:space="preserve"> (see [2.1]</w:t>
      </w:r>
      <w:proofErr w:type="gramStart"/>
      <w:r w:rsidR="003C0815">
        <w:t>-[</w:t>
      </w:r>
      <w:proofErr w:type="gramEnd"/>
      <w:r w:rsidR="003C0815">
        <w:t>2.8] of that report</w:t>
      </w:r>
      <w:r w:rsidR="00AF428C">
        <w:t>)</w:t>
      </w:r>
      <w:r w:rsidR="00743A68">
        <w:t xml:space="preserve">. </w:t>
      </w:r>
      <w:r w:rsidR="00F7431A">
        <w:t xml:space="preserve"> </w:t>
      </w:r>
    </w:p>
    <w:p w14:paraId="0C7EAFDB" w14:textId="337CC0A9" w:rsidR="00984D28" w:rsidRDefault="00317B3E" w:rsidP="00016F7F">
      <w:pPr>
        <w:pStyle w:val="ParaLevel1"/>
      </w:pPr>
      <w:r>
        <w:t xml:space="preserve">As a result, </w:t>
      </w:r>
      <w:r w:rsidR="00853152">
        <w:t xml:space="preserve">section 44(4) of LASPO </w:t>
      </w:r>
      <w:r w:rsidR="00F818F0">
        <w:t xml:space="preserve">2012 </w:t>
      </w:r>
      <w:r w:rsidR="00661D20">
        <w:t>replaced</w:t>
      </w:r>
      <w:r w:rsidR="0076431F">
        <w:t xml:space="preserve"> the original</w:t>
      </w:r>
      <w:r w:rsidR="00442945">
        <w:t xml:space="preserve"> section </w:t>
      </w:r>
      <w:r w:rsidR="00D6496F">
        <w:t>58</w:t>
      </w:r>
      <w:proofErr w:type="gramStart"/>
      <w:r w:rsidR="00D6496F">
        <w:t>A(</w:t>
      </w:r>
      <w:proofErr w:type="gramEnd"/>
      <w:r w:rsidR="00D6496F">
        <w:t>6)</w:t>
      </w:r>
      <w:r w:rsidR="00365153">
        <w:t xml:space="preserve"> with the following provision</w:t>
      </w:r>
      <w:r w:rsidR="009405E1">
        <w:t>:</w:t>
      </w:r>
    </w:p>
    <w:p w14:paraId="1DD3B7EB" w14:textId="592CA410" w:rsidR="00661D20" w:rsidRPr="00984D28" w:rsidRDefault="00661D20" w:rsidP="00016F7F">
      <w:pPr>
        <w:pStyle w:val="ParaLevel1"/>
        <w:numPr>
          <w:ilvl w:val="0"/>
          <w:numId w:val="0"/>
        </w:numPr>
        <w:ind w:left="1134"/>
        <w:rPr>
          <w:iCs/>
        </w:rPr>
      </w:pPr>
      <w:r w:rsidRPr="00984D28">
        <w:rPr>
          <w:iCs/>
        </w:rPr>
        <w:t xml:space="preserve">A costs order made in any proceedings may </w:t>
      </w:r>
      <w:r w:rsidRPr="00984D28">
        <w:rPr>
          <w:iCs/>
          <w:u w:color="000000"/>
        </w:rPr>
        <w:t>not</w:t>
      </w:r>
      <w:r w:rsidRPr="00984D28">
        <w:rPr>
          <w:iCs/>
        </w:rPr>
        <w:t xml:space="preserve"> include provision requiring the payment by one party of all or part of a success fee payable by another party under a conditional fee agreement.</w:t>
      </w:r>
    </w:p>
    <w:p w14:paraId="24B76F64" w14:textId="302317C8" w:rsidR="001B2B93" w:rsidRDefault="001B2B93" w:rsidP="00016F7F">
      <w:pPr>
        <w:pStyle w:val="ParaLevel1"/>
        <w:numPr>
          <w:ilvl w:val="0"/>
          <w:numId w:val="0"/>
        </w:numPr>
        <w:ind w:left="720"/>
      </w:pPr>
      <w:r>
        <w:t>I shall refer to that provision</w:t>
      </w:r>
      <w:r w:rsidR="004B7285">
        <w:t xml:space="preserve">, which </w:t>
      </w:r>
      <w:r w:rsidR="004B7285" w:rsidRPr="00EF4E67">
        <w:rPr>
          <w:b/>
          <w:bCs/>
        </w:rPr>
        <w:t>prohibits</w:t>
      </w:r>
      <w:r w:rsidR="004B7285">
        <w:t xml:space="preserve"> costs order</w:t>
      </w:r>
      <w:r w:rsidR="00EF4E67">
        <w:t>s including the requirement to pay a success fee,</w:t>
      </w:r>
      <w:r>
        <w:t xml:space="preserve"> as “</w:t>
      </w:r>
      <w:r w:rsidR="00E2214C">
        <w:t>s</w:t>
      </w:r>
      <w:r>
        <w:t>ection 58</w:t>
      </w:r>
      <w:proofErr w:type="gramStart"/>
      <w:r>
        <w:t>A(</w:t>
      </w:r>
      <w:proofErr w:type="gramEnd"/>
      <w:r>
        <w:t>6)” in the remainder of this judgment.</w:t>
      </w:r>
    </w:p>
    <w:p w14:paraId="0A1A17F0" w14:textId="6AED17D0" w:rsidR="000E194F" w:rsidRDefault="0000767A" w:rsidP="00016F7F">
      <w:pPr>
        <w:pStyle w:val="ParaLevel1"/>
      </w:pPr>
      <w:r>
        <w:t>It can be seen from this explanation of the legislative history</w:t>
      </w:r>
      <w:r w:rsidR="00B16445">
        <w:t xml:space="preserve"> that</w:t>
      </w:r>
      <w:r w:rsidR="005340B0">
        <w:t xml:space="preserve"> </w:t>
      </w:r>
      <w:r w:rsidR="005340B0" w:rsidRPr="005340B0">
        <w:rPr>
          <w:i/>
          <w:iCs/>
        </w:rPr>
        <w:t>Hunt CA</w:t>
      </w:r>
      <w:r w:rsidR="00360B90">
        <w:t xml:space="preserve"> clarified that</w:t>
      </w:r>
      <w:r w:rsidR="00B16445">
        <w:t xml:space="preserve"> </w:t>
      </w:r>
      <w:r w:rsidR="00AC3B73">
        <w:t xml:space="preserve">funding costs </w:t>
      </w:r>
      <w:r w:rsidR="00360B90">
        <w:t xml:space="preserve">were not to be regarded as part of the costs of </w:t>
      </w:r>
      <w:r w:rsidR="00BA4E7B">
        <w:t>litigation.</w:t>
      </w:r>
      <w:r w:rsidR="00962647">
        <w:t xml:space="preserve"> Before and after </w:t>
      </w:r>
      <w:r w:rsidR="00962647">
        <w:rPr>
          <w:i/>
          <w:iCs/>
        </w:rPr>
        <w:t xml:space="preserve">Hunt </w:t>
      </w:r>
      <w:r w:rsidR="00962647" w:rsidRPr="00962647">
        <w:rPr>
          <w:i/>
          <w:iCs/>
        </w:rPr>
        <w:t>CA</w:t>
      </w:r>
      <w:r w:rsidR="00962647">
        <w:t xml:space="preserve">, funding costs were irrecoverable as part of the costs </w:t>
      </w:r>
      <w:r w:rsidR="005D58E0">
        <w:t>of litigation</w:t>
      </w:r>
      <w:r w:rsidR="00525C4E">
        <w:t xml:space="preserve">. </w:t>
      </w:r>
      <w:r w:rsidR="00B529E0">
        <w:t xml:space="preserve">The only exception to that rule </w:t>
      </w:r>
      <w:r w:rsidR="00DA2E23">
        <w:t xml:space="preserve">was </w:t>
      </w:r>
      <w:r w:rsidR="005D58E0">
        <w:t xml:space="preserve">during the period between </w:t>
      </w:r>
      <w:r w:rsidR="009E23BD">
        <w:t xml:space="preserve">2000 and 2013 when </w:t>
      </w:r>
      <w:r w:rsidR="0035263C">
        <w:t>the first version of section 58</w:t>
      </w:r>
      <w:proofErr w:type="gramStart"/>
      <w:r w:rsidR="0035263C">
        <w:t>A(</w:t>
      </w:r>
      <w:proofErr w:type="gramEnd"/>
      <w:r w:rsidR="0035263C">
        <w:t>6) of the 1990 Act</w:t>
      </w:r>
      <w:r w:rsidR="001D4459">
        <w:t xml:space="preserve"> was in force (see [2</w:t>
      </w:r>
      <w:r w:rsidR="006A4EDB">
        <w:t>2</w:t>
      </w:r>
      <w:r w:rsidR="001D4459">
        <w:t>] above)</w:t>
      </w:r>
      <w:r w:rsidR="00F356CC">
        <w:t>.</w:t>
      </w:r>
    </w:p>
    <w:p w14:paraId="53B34BCD" w14:textId="5A67A207" w:rsidR="00A17587" w:rsidRDefault="00AB620C" w:rsidP="00016F7F">
      <w:pPr>
        <w:pStyle w:val="ParaLevel1"/>
      </w:pPr>
      <w:r>
        <w:t>Whether coincidentally or not, at roughly the same time</w:t>
      </w:r>
      <w:r w:rsidR="00233941">
        <w:t xml:space="preserve"> </w:t>
      </w:r>
      <w:r>
        <w:t>as the first version of section 58</w:t>
      </w:r>
      <w:proofErr w:type="gramStart"/>
      <w:r>
        <w:t>A(</w:t>
      </w:r>
      <w:proofErr w:type="gramEnd"/>
      <w:r>
        <w:t>6) provided by statute (for the first and only time</w:t>
      </w:r>
      <w:r w:rsidR="00B91D6D">
        <w:t xml:space="preserve"> from April 2000</w:t>
      </w:r>
      <w:r>
        <w:t xml:space="preserve">) that costs orders </w:t>
      </w:r>
      <w:r>
        <w:rPr>
          <w:b/>
          <w:bCs/>
        </w:rPr>
        <w:t>could</w:t>
      </w:r>
      <w:r>
        <w:t xml:space="preserve"> include success fees (whether or not they included funding costs)</w:t>
      </w:r>
      <w:r w:rsidR="003A6B9A">
        <w:t>, s</w:t>
      </w:r>
      <w:r w:rsidR="004F2EE2">
        <w:t>ection 17 of the Judgments Act 1838</w:t>
      </w:r>
      <w:r w:rsidR="00E61A22">
        <w:t xml:space="preserve"> was</w:t>
      </w:r>
      <w:r w:rsidR="003A6B9A">
        <w:t xml:space="preserve"> </w:t>
      </w:r>
      <w:r w:rsidR="00E61A22">
        <w:t>amended and CPR Part 44</w:t>
      </w:r>
      <w:r w:rsidR="001F1783">
        <w:t>.2(6)(g) was introduced to allow the award of pre-judgment interest on costs</w:t>
      </w:r>
      <w:r w:rsidR="001C0463">
        <w:t>.</w:t>
      </w:r>
      <w:r w:rsidR="00C93856">
        <w:t xml:space="preserve"> </w:t>
      </w:r>
      <w:r w:rsidR="00400A6A">
        <w:t>Allowing success fees to be recovered as costs may have meant</w:t>
      </w:r>
      <w:r w:rsidR="00650306">
        <w:t xml:space="preserve"> in practice</w:t>
      </w:r>
      <w:r w:rsidR="00400A6A">
        <w:t xml:space="preserve"> that </w:t>
      </w:r>
      <w:r w:rsidR="008C1C13">
        <w:t>claimants in CFA</w:t>
      </w:r>
      <w:r w:rsidR="000817DF">
        <w:t>-</w:t>
      </w:r>
      <w:r w:rsidR="00903D5C">
        <w:t xml:space="preserve">funded litigation had no </w:t>
      </w:r>
      <w:r w:rsidR="00650306">
        <w:t xml:space="preserve">routine </w:t>
      </w:r>
      <w:r w:rsidR="00903D5C">
        <w:t xml:space="preserve">need to seek </w:t>
      </w:r>
      <w:r w:rsidR="00403FF5">
        <w:t>pre-judgment interest on their costs for that 13-year period</w:t>
      </w:r>
      <w:r w:rsidR="004A62D2">
        <w:t>.</w:t>
      </w:r>
      <w:r w:rsidR="003E499D">
        <w:t xml:space="preserve"> </w:t>
      </w:r>
    </w:p>
    <w:p w14:paraId="035DB13C" w14:textId="151BB2AD" w:rsidR="004F2EE2" w:rsidRDefault="003E499D" w:rsidP="00016F7F">
      <w:pPr>
        <w:pStyle w:val="ParaLevel1"/>
      </w:pPr>
      <w:r>
        <w:lastRenderedPageBreak/>
        <w:t xml:space="preserve">The position </w:t>
      </w:r>
      <w:r w:rsidR="00577BA0">
        <w:t xml:space="preserve">was, however, different after </w:t>
      </w:r>
      <w:r w:rsidR="0044038F">
        <w:t>2013, when success fees once again ceased to be recoverable as costs</w:t>
      </w:r>
      <w:r w:rsidR="00A17587">
        <w:t xml:space="preserve"> (because of the second version of section 58</w:t>
      </w:r>
      <w:proofErr w:type="gramStart"/>
      <w:r w:rsidR="00A17587">
        <w:t>A(</w:t>
      </w:r>
      <w:proofErr w:type="gramEnd"/>
      <w:r w:rsidR="00A17587">
        <w:t>6)</w:t>
      </w:r>
      <w:r w:rsidR="007A64E5">
        <w:t xml:space="preserve"> – see [2</w:t>
      </w:r>
      <w:r w:rsidR="00474176">
        <w:t>4</w:t>
      </w:r>
      <w:r w:rsidR="007A64E5">
        <w:t>] above</w:t>
      </w:r>
      <w:r w:rsidR="00A17587">
        <w:t>).</w:t>
      </w:r>
      <w:r w:rsidR="007A64E5">
        <w:t xml:space="preserve"> It is that position that we are considering in this case. </w:t>
      </w:r>
    </w:p>
    <w:p w14:paraId="7AB16613" w14:textId="65C40657" w:rsidR="008E3628" w:rsidRDefault="008E3628" w:rsidP="00016F7F">
      <w:pPr>
        <w:pStyle w:val="ParaLevel1"/>
        <w:numPr>
          <w:ilvl w:val="0"/>
          <w:numId w:val="0"/>
        </w:numPr>
      </w:pPr>
      <w:r w:rsidRPr="008E3628">
        <w:rPr>
          <w:u w:val="single"/>
        </w:rPr>
        <w:t>T</w:t>
      </w:r>
      <w:r w:rsidR="00730E44" w:rsidRPr="008E3628">
        <w:rPr>
          <w:u w:val="single"/>
        </w:rPr>
        <w:t>he judge’s decision</w:t>
      </w:r>
      <w:r w:rsidR="00730E44">
        <w:t xml:space="preserve"> </w:t>
      </w:r>
    </w:p>
    <w:p w14:paraId="1FE0A401" w14:textId="014929DC" w:rsidR="008E3628" w:rsidRDefault="008E3628" w:rsidP="00016F7F">
      <w:pPr>
        <w:pStyle w:val="ParaLevel1"/>
      </w:pPr>
      <w:r>
        <w:t>The judge</w:t>
      </w:r>
      <w:r w:rsidR="007916AC">
        <w:t xml:space="preserve"> decided the question in issue before us briefly. I can, therefore, con</w:t>
      </w:r>
      <w:r w:rsidR="00E8521C">
        <w:t>veniently set out the entirety of her reasoning as follows</w:t>
      </w:r>
      <w:r>
        <w:t xml:space="preserve">: </w:t>
      </w:r>
    </w:p>
    <w:p w14:paraId="08006E38" w14:textId="77777777" w:rsidR="008E3628" w:rsidRPr="00FF45DB" w:rsidRDefault="008E3628" w:rsidP="00016F7F">
      <w:pPr>
        <w:pStyle w:val="ParaLevel1"/>
        <w:numPr>
          <w:ilvl w:val="0"/>
          <w:numId w:val="0"/>
        </w:numPr>
        <w:ind w:left="1134"/>
      </w:pPr>
      <w:r>
        <w:t xml:space="preserve">47. The claimants seek </w:t>
      </w:r>
      <w:r w:rsidRPr="00FF45DB">
        <w:t>interest at the commercial rate of 1% above base rate on the totality of their costs as from 1 August 2023, the date at which half of the fees were incurred.</w:t>
      </w:r>
    </w:p>
    <w:p w14:paraId="13910222" w14:textId="788C43E8" w:rsidR="008E3628" w:rsidRPr="00FF45DB" w:rsidRDefault="008E3628" w:rsidP="00016F7F">
      <w:pPr>
        <w:pStyle w:val="ParaLevel1"/>
        <w:numPr>
          <w:ilvl w:val="0"/>
          <w:numId w:val="0"/>
        </w:numPr>
        <w:ind w:left="1134"/>
      </w:pPr>
      <w:r w:rsidRPr="00FF45DB">
        <w:t>48. The defendants’ position is that the claimants are not entitled to any interest on pre</w:t>
      </w:r>
      <w:r w:rsidR="007B0D7C">
        <w:t>-</w:t>
      </w:r>
      <w:r w:rsidRPr="00FF45DB">
        <w:t>judgment costs because they have not paid any legal fees or disbursements up front and have not explained how they are out of pocket.</w:t>
      </w:r>
    </w:p>
    <w:p w14:paraId="3D0B9723" w14:textId="77777777" w:rsidR="008E3628" w:rsidRDefault="008E3628" w:rsidP="00016F7F">
      <w:pPr>
        <w:pStyle w:val="ParaLevel1"/>
        <w:numPr>
          <w:ilvl w:val="0"/>
          <w:numId w:val="0"/>
        </w:numPr>
        <w:ind w:left="1134"/>
      </w:pPr>
      <w:r w:rsidRPr="00FF45DB">
        <w:t>49. CPR 44.2(6)(g) gives the court discretionary power to order a party to pay interest on costs from or unt</w:t>
      </w:r>
      <w:r>
        <w:t>il a certain date, including a date before judgment.</w:t>
      </w:r>
    </w:p>
    <w:p w14:paraId="00B1E9D1" w14:textId="4FE69F78" w:rsidR="008E3628" w:rsidRDefault="008E3628" w:rsidP="00016F7F">
      <w:pPr>
        <w:pStyle w:val="ParaLevel1"/>
        <w:numPr>
          <w:ilvl w:val="0"/>
          <w:numId w:val="0"/>
        </w:numPr>
        <w:ind w:left="1134"/>
      </w:pPr>
      <w:r>
        <w:t xml:space="preserve">50. In </w:t>
      </w:r>
      <w:r w:rsidR="001B60D4">
        <w:t>[</w:t>
      </w:r>
      <w:r>
        <w:rPr>
          <w:i/>
        </w:rPr>
        <w:t>Jones</w:t>
      </w:r>
      <w:r w:rsidR="001B60D4">
        <w:rPr>
          <w:iCs/>
        </w:rPr>
        <w:t>]</w:t>
      </w:r>
      <w:r>
        <w:t xml:space="preserve"> this rule was explained by Sharp LJ at [17]:</w:t>
      </w:r>
    </w:p>
    <w:p w14:paraId="4463B112" w14:textId="14B90C71" w:rsidR="008E3628" w:rsidRDefault="008E3628" w:rsidP="00016F7F">
      <w:pPr>
        <w:pStyle w:val="ParaLevel1"/>
        <w:numPr>
          <w:ilvl w:val="0"/>
          <w:numId w:val="0"/>
        </w:numPr>
        <w:ind w:left="1440"/>
      </w:pPr>
      <w:r>
        <w:t>“The purpose of such an award is to compensate a party who has been deprived of the use of his money, or who has had to borrow money to pay for his legal costs. The relevant principles do not materially differ from those applicable to the award of interest on damages under s 35A of the Senior Courts Act 1981. The discretion conferred by the rule in respect of pre-judgment interest is not fettered by the statutory rate of interest, under the Judgments Act 1838, but is at large. Ultimately, the court conducts a general appraisal of the position having regard to what is reasonable for both the paying and the receiving parties. This normally involves an assessment of what is reasonable having regard to the class of litigant to which the relevant party belongs, rather than a minute assessment which it would be inconvenient and disproportionate to undertake. In commercial cases the rate of interest is usually set by reference to the short</w:t>
      </w:r>
      <w:r w:rsidR="00A17253">
        <w:t>-</w:t>
      </w:r>
      <w:r>
        <w:t xml:space="preserve">term cost of unsecured borrowing for the relevant class of litigant, though it is always possible for a party to displace a “rule of thumb” by adducing evidence, and the rate charged to a recipient who has actually borrowed money may be relevant but is not determinative. See </w:t>
      </w:r>
      <w:r w:rsidRPr="00686998">
        <w:rPr>
          <w:i/>
        </w:rPr>
        <w:t>F&amp;C Alternative Investments Ltd v Barthelemy (No. 3)</w:t>
      </w:r>
      <w:r>
        <w:t xml:space="preserve"> CA [2013] 1 WLR at paras 98, 99 and 102 to 105</w:t>
      </w:r>
      <w:r w:rsidR="0020014B">
        <w:t xml:space="preserve"> [</w:t>
      </w:r>
      <w:r w:rsidR="0020014B">
        <w:rPr>
          <w:i/>
          <w:iCs/>
        </w:rPr>
        <w:t>F&amp;C A</w:t>
      </w:r>
      <w:r w:rsidR="00613AA7">
        <w:rPr>
          <w:i/>
          <w:iCs/>
        </w:rPr>
        <w:t>lternative</w:t>
      </w:r>
      <w:r w:rsidR="00613AA7">
        <w:t>]</w:t>
      </w:r>
      <w:r>
        <w:t xml:space="preserve">; </w:t>
      </w:r>
      <w:r w:rsidRPr="00686998">
        <w:rPr>
          <w:i/>
        </w:rPr>
        <w:t>Bim Kemi AB v Blackburn Chemicals Ltd</w:t>
      </w:r>
      <w:r>
        <w:t xml:space="preserve"> [2003] EWCA Civ 889 at 18 and for example, </w:t>
      </w:r>
      <w:r w:rsidRPr="00686998">
        <w:rPr>
          <w:i/>
        </w:rPr>
        <w:t xml:space="preserve">Fiona Trust &amp; Holding </w:t>
      </w:r>
      <w:r>
        <w:rPr>
          <w:i/>
        </w:rPr>
        <w:t>Corporation v Privalov</w:t>
      </w:r>
      <w:r>
        <w:t xml:space="preserve"> [2011] EWHC 664 (Comm).”</w:t>
      </w:r>
    </w:p>
    <w:p w14:paraId="3F8CD795" w14:textId="77777777" w:rsidR="008E3628" w:rsidRDefault="008E3628" w:rsidP="00016F7F">
      <w:pPr>
        <w:pStyle w:val="ParaLevel1"/>
        <w:numPr>
          <w:ilvl w:val="0"/>
          <w:numId w:val="0"/>
        </w:numPr>
        <w:ind w:left="1134"/>
      </w:pPr>
      <w:r>
        <w:t xml:space="preserve">51. </w:t>
      </w:r>
      <w:r w:rsidRPr="00662F3B">
        <w:t xml:space="preserve">In this case, the claimants have not been required to fund the litigation directly and have made no payments in respect of costs. Pogust Goodhead </w:t>
      </w:r>
      <w:proofErr w:type="gramStart"/>
      <w:r w:rsidRPr="00662F3B">
        <w:t>have</w:t>
      </w:r>
      <w:proofErr w:type="gramEnd"/>
      <w:r w:rsidRPr="00662F3B">
        <w:t xml:space="preserve"> obtained funding for the litigation and the claimants do not have to pay any costs unless and until any damages are awarded. However, in that eventuality, the claimants will be liable to pay success fees to their legal representatives reflecting the costs of funding the litigation, thereby reducing any damages received. It is a liability for costs, albeit a contingent liability at this stage. As a matter of principle, the claimants should be entitled to compensation in respect of the funding expenses for </w:t>
      </w:r>
      <w:r w:rsidRPr="00662F3B">
        <w:lastRenderedPageBreak/>
        <w:t>which they will be indebted out of any damages. The fact that their solicitors and/or funders have accepted the risk that the costs and funding expenses will only be r</w:t>
      </w:r>
      <w:r>
        <w:t xml:space="preserve">ecouped from any damages does not detract from that position.  </w:t>
      </w:r>
    </w:p>
    <w:p w14:paraId="19373E7B" w14:textId="77777777" w:rsidR="008E3628" w:rsidRDefault="008E3628" w:rsidP="00016F7F">
      <w:pPr>
        <w:pStyle w:val="ParaLevel1"/>
        <w:numPr>
          <w:ilvl w:val="0"/>
          <w:numId w:val="0"/>
        </w:numPr>
        <w:ind w:left="1134"/>
      </w:pPr>
      <w:r>
        <w:t xml:space="preserve">52. On balance, I consider that it would be </w:t>
      </w:r>
      <w:r w:rsidRPr="00FF45DB">
        <w:t>appropriate for the court to exercise its discretion and award pre-judgment interest on costs, at the rate of 1% above base rate, up to the date of the order for costs. The claimants’ submission that the court should adopt the point at which half of the fees were incurred, 1 August 2023, for the purpose of calculating the interest, is a pragmatic and proportionate approach w</w:t>
      </w:r>
      <w:r>
        <w:t xml:space="preserve">hich the court accepts. </w:t>
      </w:r>
    </w:p>
    <w:p w14:paraId="5F17C4F1" w14:textId="44B0E56A" w:rsidR="008E3628" w:rsidRDefault="008E3628" w:rsidP="00016F7F">
      <w:pPr>
        <w:pStyle w:val="ParaLevel1"/>
        <w:numPr>
          <w:ilvl w:val="0"/>
          <w:numId w:val="0"/>
        </w:numPr>
        <w:ind w:left="720" w:hanging="720"/>
      </w:pPr>
      <w:r w:rsidRPr="008E3628">
        <w:rPr>
          <w:u w:val="single"/>
        </w:rPr>
        <w:t>T</w:t>
      </w:r>
      <w:r w:rsidR="00730E44" w:rsidRPr="008E3628">
        <w:rPr>
          <w:u w:val="single"/>
        </w:rPr>
        <w:t xml:space="preserve">he authorities on </w:t>
      </w:r>
      <w:r w:rsidR="00957AC4">
        <w:rPr>
          <w:u w:val="single"/>
        </w:rPr>
        <w:t xml:space="preserve">the </w:t>
      </w:r>
      <w:r w:rsidR="00730E44" w:rsidRPr="008E3628">
        <w:rPr>
          <w:u w:val="single"/>
        </w:rPr>
        <w:t xml:space="preserve">scope of </w:t>
      </w:r>
      <w:r w:rsidR="00957AC4">
        <w:rPr>
          <w:u w:val="single"/>
        </w:rPr>
        <w:t xml:space="preserve">the </w:t>
      </w:r>
      <w:r w:rsidR="00730E44" w:rsidRPr="008E3628">
        <w:rPr>
          <w:u w:val="single"/>
        </w:rPr>
        <w:t>power in CPR Part 44.2(6)(g)</w:t>
      </w:r>
      <w:r w:rsidR="00730E44">
        <w:t xml:space="preserve"> </w:t>
      </w:r>
    </w:p>
    <w:p w14:paraId="05CE2F95" w14:textId="0161235E" w:rsidR="00230495" w:rsidRDefault="00C12487" w:rsidP="00016F7F">
      <w:pPr>
        <w:pStyle w:val="ParaLevel1"/>
      </w:pPr>
      <w:r w:rsidRPr="00472C79">
        <w:rPr>
          <w:i/>
          <w:iCs/>
        </w:rPr>
        <w:t>McPhilemy v</w:t>
      </w:r>
      <w:r w:rsidR="00472C79" w:rsidRPr="00472C79">
        <w:rPr>
          <w:i/>
          <w:iCs/>
        </w:rPr>
        <w:t>.</w:t>
      </w:r>
      <w:r w:rsidRPr="00472C79">
        <w:rPr>
          <w:i/>
          <w:iCs/>
        </w:rPr>
        <w:t xml:space="preserve"> Times Newspapers Ltd (No 2)</w:t>
      </w:r>
      <w:r w:rsidRPr="00C12487">
        <w:t xml:space="preserve"> </w:t>
      </w:r>
      <w:r w:rsidR="00472C79" w:rsidRPr="00472C79">
        <w:t>[2001] EWCA Civ 933</w:t>
      </w:r>
      <w:r w:rsidR="00060FF5">
        <w:t>,</w:t>
      </w:r>
      <w:r w:rsidR="00472C79" w:rsidRPr="00472C79">
        <w:t xml:space="preserve"> </w:t>
      </w:r>
      <w:r w:rsidRPr="00C12487">
        <w:t>[2002] 1 WLR</w:t>
      </w:r>
      <w:r w:rsidR="00472C79">
        <w:t xml:space="preserve"> 934</w:t>
      </w:r>
      <w:r w:rsidR="00042159">
        <w:t xml:space="preserve"> was decided shortly after the introduction of the CPR</w:t>
      </w:r>
      <w:r w:rsidR="00F65A6B">
        <w:t xml:space="preserve">. It concerned the </w:t>
      </w:r>
      <w:r w:rsidR="00FC0C7E">
        <w:t xml:space="preserve">permissive </w:t>
      </w:r>
      <w:r w:rsidR="00F65A6B">
        <w:t>power to award interest on costs under what was then CPR Part 36.21</w:t>
      </w:r>
      <w:r w:rsidR="00990397">
        <w:t>(3)(b)</w:t>
      </w:r>
      <w:r w:rsidR="00473909">
        <w:t xml:space="preserve">, where a claimant </w:t>
      </w:r>
      <w:r w:rsidR="00FC0C7E">
        <w:t xml:space="preserve">had </w:t>
      </w:r>
      <w:r w:rsidR="00473909">
        <w:t>beat</w:t>
      </w:r>
      <w:r w:rsidR="00FC0C7E">
        <w:t>en</w:t>
      </w:r>
      <w:r w:rsidR="00473909">
        <w:t xml:space="preserve"> the defendant’s Part 36 offer.</w:t>
      </w:r>
      <w:r w:rsidR="004B7935">
        <w:t xml:space="preserve"> Chadwick LJ (with whom </w:t>
      </w:r>
      <w:r w:rsidR="00261CBF">
        <w:t>Longmore and Simon Brown LJJ agreed) said at [23]</w:t>
      </w:r>
      <w:r w:rsidR="0047501B">
        <w:t xml:space="preserve"> that </w:t>
      </w:r>
      <w:r w:rsidR="00F963EF">
        <w:t>t</w:t>
      </w:r>
      <w:r w:rsidR="00261CBF">
        <w:t xml:space="preserve">he purpose </w:t>
      </w:r>
      <w:r w:rsidR="00F963EF">
        <w:t xml:space="preserve">of the power was to </w:t>
      </w:r>
      <w:r w:rsidR="00261CBF">
        <w:t xml:space="preserve">redress the element of </w:t>
      </w:r>
      <w:r w:rsidR="007D6556">
        <w:t>“</w:t>
      </w:r>
      <w:r w:rsidR="00261CBF">
        <w:t>perceived unfairness</w:t>
      </w:r>
      <w:r w:rsidR="007D6556">
        <w:t>”</w:t>
      </w:r>
      <w:r w:rsidR="00261CBF">
        <w:t xml:space="preserve"> which ar</w:t>
      </w:r>
      <w:r w:rsidR="005D744C">
        <w:t>ose</w:t>
      </w:r>
      <w:r w:rsidR="00261CBF">
        <w:t xml:space="preserve"> from the </w:t>
      </w:r>
      <w:r w:rsidR="007D6556">
        <w:t>“</w:t>
      </w:r>
      <w:r w:rsidR="00261CBF">
        <w:t xml:space="preserve">general rule that interest </w:t>
      </w:r>
      <w:r w:rsidR="00E60E71">
        <w:t>i</w:t>
      </w:r>
      <w:r w:rsidR="00261CBF">
        <w:t>s not allowed on costs paid before judgment</w:t>
      </w:r>
      <w:r w:rsidR="007D6556">
        <w:t>”</w:t>
      </w:r>
      <w:r w:rsidR="00261CBF">
        <w:t xml:space="preserve"> </w:t>
      </w:r>
      <w:r w:rsidR="005D744C">
        <w:t xml:space="preserve">(see </w:t>
      </w:r>
      <w:r w:rsidR="00740794" w:rsidRPr="00F963EF">
        <w:rPr>
          <w:i/>
          <w:iCs/>
        </w:rPr>
        <w:t>Hunt HL</w:t>
      </w:r>
      <w:r w:rsidR="00261CBF">
        <w:t xml:space="preserve"> </w:t>
      </w:r>
      <w:r w:rsidR="005D744C">
        <w:t xml:space="preserve">at </w:t>
      </w:r>
      <w:r w:rsidR="00230495">
        <w:t xml:space="preserve">page </w:t>
      </w:r>
      <w:r w:rsidR="00261CBF">
        <w:t>415F</w:t>
      </w:r>
      <w:r w:rsidR="005D744C">
        <w:t>)</w:t>
      </w:r>
      <w:r w:rsidR="00261CBF">
        <w:t>.</w:t>
      </w:r>
    </w:p>
    <w:p w14:paraId="2BFE5230" w14:textId="51C785BB" w:rsidR="00832B99" w:rsidRDefault="00EA5670" w:rsidP="00016F7F">
      <w:pPr>
        <w:pStyle w:val="ParaLevel1"/>
      </w:pPr>
      <w:r>
        <w:t>In</w:t>
      </w:r>
      <w:r w:rsidR="000F7910" w:rsidRPr="000F7910">
        <w:t xml:space="preserve"> </w:t>
      </w:r>
      <w:r w:rsidR="000F7910" w:rsidRPr="003E1C23">
        <w:rPr>
          <w:i/>
          <w:u w:color="000000"/>
        </w:rPr>
        <w:t>Bim Kemi AB v. Blackburn Chemicals Ltd</w:t>
      </w:r>
      <w:r w:rsidR="000F7910">
        <w:t xml:space="preserve"> [2003] EWCA Civ 889, [2004] 2 Costs LR 201</w:t>
      </w:r>
      <w:r w:rsidR="0034045B">
        <w:t xml:space="preserve"> (</w:t>
      </w:r>
      <w:r w:rsidR="0034045B">
        <w:rPr>
          <w:i/>
          <w:iCs/>
        </w:rPr>
        <w:t>Bim Kemi</w:t>
      </w:r>
      <w:r w:rsidR="0034045B">
        <w:t>)</w:t>
      </w:r>
      <w:r w:rsidR="00C342EF">
        <w:t>, Waller</w:t>
      </w:r>
      <w:r w:rsidR="006B7F1C">
        <w:t xml:space="preserve"> and Kennedy</w:t>
      </w:r>
      <w:r w:rsidR="00C342EF">
        <w:t xml:space="preserve"> LJ</w:t>
      </w:r>
      <w:r w:rsidR="006B7F1C">
        <w:t>J</w:t>
      </w:r>
      <w:r w:rsidR="00C342EF">
        <w:t xml:space="preserve"> said, in relation to the power in CPR Part 44.2(6)(g)</w:t>
      </w:r>
      <w:r w:rsidR="00E1118C">
        <w:t>,</w:t>
      </w:r>
      <w:r w:rsidR="00BC6A27">
        <w:t xml:space="preserve"> that there was no reason </w:t>
      </w:r>
      <w:r>
        <w:t xml:space="preserve">in principle why the court should not </w:t>
      </w:r>
      <w:r w:rsidR="00BC6A27">
        <w:t>make such an order</w:t>
      </w:r>
      <w:r w:rsidR="003E1C23">
        <w:t xml:space="preserve"> for pre-judgment interest “</w:t>
      </w:r>
      <w:r>
        <w:t>where a party has had to put up money paying its solicitors and been out of the use of that money in the meanwhile</w:t>
      </w:r>
      <w:r w:rsidR="003E1C23">
        <w:t>”</w:t>
      </w:r>
      <w:r w:rsidR="000A7586">
        <w:t xml:space="preserve"> (see also </w:t>
      </w:r>
      <w:r w:rsidR="000A7586">
        <w:rPr>
          <w:i/>
          <w:iCs/>
        </w:rPr>
        <w:t xml:space="preserve">Douglas v. Hello! </w:t>
      </w:r>
      <w:r w:rsidR="000A7586" w:rsidRPr="000A7586">
        <w:t>[2004] EWHC 63 (Ch)</w:t>
      </w:r>
      <w:r w:rsidR="000A7586">
        <w:t>,</w:t>
      </w:r>
      <w:r w:rsidR="002C4629">
        <w:t xml:space="preserve"> [2004] 2 Costs LR 304 per Lindsay J at </w:t>
      </w:r>
      <w:r w:rsidR="009671B3">
        <w:t>[24])</w:t>
      </w:r>
      <w:r>
        <w:t>.</w:t>
      </w:r>
    </w:p>
    <w:p w14:paraId="55632876" w14:textId="285FD936" w:rsidR="009671B3" w:rsidRDefault="00AC4065" w:rsidP="00016F7F">
      <w:pPr>
        <w:pStyle w:val="ParaLevel1"/>
      </w:pPr>
      <w:r>
        <w:t xml:space="preserve">In </w:t>
      </w:r>
      <w:r w:rsidR="00832B99" w:rsidRPr="00832B99">
        <w:rPr>
          <w:i/>
          <w:iCs/>
        </w:rPr>
        <w:t xml:space="preserve">Nova Productions Ltd v. Mazooma Games Ltd </w:t>
      </w:r>
      <w:r w:rsidR="00832B99">
        <w:t>(No 2) [2006] EWHC 189 (Ch), [2006] RPC 15</w:t>
      </w:r>
      <w:r w:rsidR="00526CC4">
        <w:t xml:space="preserve"> (</w:t>
      </w:r>
      <w:r w:rsidR="00526CC4">
        <w:rPr>
          <w:i/>
          <w:iCs/>
        </w:rPr>
        <w:t>Nova Productions</w:t>
      </w:r>
      <w:r w:rsidR="00526CC4">
        <w:t>)</w:t>
      </w:r>
      <w:r w:rsidR="00832B99">
        <w:t xml:space="preserve">, Kitchin </w:t>
      </w:r>
      <w:r w:rsidR="00F154CA">
        <w:t xml:space="preserve">J </w:t>
      </w:r>
      <w:r w:rsidR="00832B99">
        <w:t xml:space="preserve">cited all the preceding authority on </w:t>
      </w:r>
      <w:r w:rsidR="0097220E">
        <w:t>CPR Part 44.2(6)(g) before concluding at [1</w:t>
      </w:r>
      <w:r w:rsidR="000A4C46">
        <w:t>6</w:t>
      </w:r>
      <w:r w:rsidR="0097220E">
        <w:t xml:space="preserve">] as follows: </w:t>
      </w:r>
    </w:p>
    <w:p w14:paraId="59F9922C" w14:textId="320DE119" w:rsidR="000A4C46" w:rsidRPr="000A4C46" w:rsidRDefault="000A4C46" w:rsidP="00016F7F">
      <w:pPr>
        <w:pStyle w:val="ParaLevel1"/>
        <w:numPr>
          <w:ilvl w:val="0"/>
          <w:numId w:val="0"/>
        </w:numPr>
        <w:ind w:left="1134"/>
      </w:pPr>
      <w:r w:rsidRPr="000A4C46">
        <w:t>In the light of all these authorities, it seems to me that the court has a broad discretion</w:t>
      </w:r>
      <w:r w:rsidR="009565ED">
        <w:t xml:space="preserve"> </w:t>
      </w:r>
      <w:r w:rsidRPr="000A4C46">
        <w:t>when deciding whether to award interest on costs from a date before judgment. That</w:t>
      </w:r>
      <w:r w:rsidR="009565ED">
        <w:t xml:space="preserve"> </w:t>
      </w:r>
      <w:r w:rsidRPr="000A4C46">
        <w:t>discretion must be exercised in accordance with the principles set out in CPR 44.3 and</w:t>
      </w:r>
      <w:r w:rsidR="009565ED">
        <w:t xml:space="preserve"> </w:t>
      </w:r>
      <w:r w:rsidRPr="000A4C46">
        <w:t xml:space="preserve">the court must </w:t>
      </w:r>
      <w:proofErr w:type="gramStart"/>
      <w:r w:rsidRPr="000A4C46">
        <w:t>take into account</w:t>
      </w:r>
      <w:proofErr w:type="gramEnd"/>
      <w:r w:rsidRPr="000A4C46">
        <w:t xml:space="preserve"> all the circumstances of the case, including such matters</w:t>
      </w:r>
      <w:r w:rsidR="009565ED">
        <w:t xml:space="preserve"> </w:t>
      </w:r>
      <w:r w:rsidRPr="000A4C46">
        <w:t>as the conduct of the parties and the degree to which a party has succeeded. Further, the</w:t>
      </w:r>
      <w:r w:rsidR="009565ED">
        <w:t xml:space="preserve"> </w:t>
      </w:r>
      <w:r w:rsidRPr="000A4C46">
        <w:t>discretion must be exercised in accordance with the overriding objective of dealing with</w:t>
      </w:r>
      <w:r w:rsidR="009565ED">
        <w:t xml:space="preserve"> </w:t>
      </w:r>
      <w:r w:rsidRPr="000A4C46">
        <w:t>the case justly. I am unable to accept the submission that interest on costs should only be</w:t>
      </w:r>
      <w:r w:rsidR="009565ED">
        <w:t xml:space="preserve"> </w:t>
      </w:r>
      <w:r w:rsidRPr="000A4C46">
        <w:t>awarded in a case which is in some way out of the norm. I ﬁnd no basis for that in the CPR</w:t>
      </w:r>
      <w:r w:rsidR="009565ED">
        <w:t xml:space="preserve"> </w:t>
      </w:r>
      <w:r w:rsidRPr="000A4C46">
        <w:t>and I believe it would provide an unwarranted fetter on the court’s discretion. This</w:t>
      </w:r>
      <w:r w:rsidR="0034045B">
        <w:t xml:space="preserve"> </w:t>
      </w:r>
      <w:r w:rsidRPr="000A4C46">
        <w:t>conclusion is, in my judgment, supported by the decisions of the Court of Appeal in</w:t>
      </w:r>
      <w:r w:rsidR="0034045B">
        <w:t xml:space="preserve"> </w:t>
      </w:r>
      <w:r w:rsidR="00175A20">
        <w:t>[</w:t>
      </w:r>
      <w:r w:rsidR="00F250D6" w:rsidRPr="001D6822">
        <w:rPr>
          <w:i/>
          <w:iCs/>
        </w:rPr>
        <w:t>Powell v</w:t>
      </w:r>
      <w:r w:rsidR="00175A20" w:rsidRPr="001D6822">
        <w:rPr>
          <w:i/>
          <w:iCs/>
        </w:rPr>
        <w:t>.</w:t>
      </w:r>
      <w:r w:rsidR="00F250D6" w:rsidRPr="001D6822">
        <w:rPr>
          <w:i/>
          <w:iCs/>
        </w:rPr>
        <w:t xml:space="preserve"> Herefordshire Health</w:t>
      </w:r>
      <w:r w:rsidR="00175A20" w:rsidRPr="001D6822">
        <w:rPr>
          <w:i/>
          <w:iCs/>
        </w:rPr>
        <w:t xml:space="preserve"> </w:t>
      </w:r>
      <w:r w:rsidR="00F250D6" w:rsidRPr="001D6822">
        <w:rPr>
          <w:i/>
          <w:iCs/>
        </w:rPr>
        <w:t>Authority</w:t>
      </w:r>
      <w:r w:rsidR="00F250D6">
        <w:t xml:space="preserve"> [2002] EWCA Civ 1786</w:t>
      </w:r>
      <w:r w:rsidR="00175A20">
        <w:t>,</w:t>
      </w:r>
      <w:r w:rsidR="00F250D6">
        <w:t xml:space="preserve"> [2003] 3 All E.R. 253</w:t>
      </w:r>
      <w:r w:rsidRPr="000A4C46">
        <w:t xml:space="preserve"> and </w:t>
      </w:r>
      <w:r w:rsidRPr="00175A20">
        <w:rPr>
          <w:i/>
          <w:iCs/>
        </w:rPr>
        <w:t>Bim Kemi</w:t>
      </w:r>
      <w:r w:rsidR="00175A20">
        <w:t>]</w:t>
      </w:r>
      <w:r w:rsidR="00C65D06">
        <w:t xml:space="preserve"> …</w:t>
      </w:r>
    </w:p>
    <w:p w14:paraId="2C9D7EF3" w14:textId="6C9CEFFC" w:rsidR="00C65D06" w:rsidRDefault="00340C33" w:rsidP="00016F7F">
      <w:pPr>
        <w:pStyle w:val="ParaLevel1"/>
      </w:pPr>
      <w:r w:rsidRPr="00464828">
        <w:rPr>
          <w:i/>
          <w:iCs/>
        </w:rPr>
        <w:t>Fosse</w:t>
      </w:r>
      <w:r w:rsidR="00464828" w:rsidRPr="00464828">
        <w:t xml:space="preserve"> </w:t>
      </w:r>
      <w:r w:rsidR="00464828" w:rsidRPr="00464828">
        <w:rPr>
          <w:i/>
          <w:iCs/>
        </w:rPr>
        <w:t xml:space="preserve">Motor Engineers Ltd v. Conde Nast and National Magazine Distributors Ltd </w:t>
      </w:r>
      <w:r w:rsidR="00464828" w:rsidRPr="00464828">
        <w:t>[2008] EWHC 2527 (QB)</w:t>
      </w:r>
      <w:r w:rsidR="00464828">
        <w:t xml:space="preserve">, </w:t>
      </w:r>
      <w:r w:rsidR="00464828" w:rsidRPr="00464828">
        <w:t>[2009] 3 Costs LR 377</w:t>
      </w:r>
      <w:r w:rsidR="00F03BF7">
        <w:t xml:space="preserve"> </w:t>
      </w:r>
      <w:r w:rsidR="0093306F">
        <w:t>(</w:t>
      </w:r>
      <w:r w:rsidR="0093306F" w:rsidRPr="0076581C">
        <w:rPr>
          <w:i/>
          <w:iCs/>
        </w:rPr>
        <w:t>Fosse</w:t>
      </w:r>
      <w:r w:rsidR="0093306F">
        <w:t xml:space="preserve">) </w:t>
      </w:r>
      <w:r w:rsidR="00F03BF7" w:rsidRPr="0093306F">
        <w:t>decided</w:t>
      </w:r>
      <w:r w:rsidR="00F03BF7">
        <w:t xml:space="preserve"> that the power under CPR Part 44.2(6)(</w:t>
      </w:r>
      <w:r w:rsidR="00E0324C">
        <w:t>g</w:t>
      </w:r>
      <w:r w:rsidR="00F03BF7">
        <w:t>) could be exercised even when the litigation was funded by insurers.</w:t>
      </w:r>
      <w:r w:rsidR="00CE75FD">
        <w:t xml:space="preserve"> At [12],</w:t>
      </w:r>
      <w:r w:rsidR="00DB4FAE">
        <w:t xml:space="preserve"> Akenhead J said that he could presume that insurers had made a loss or incurred a cost</w:t>
      </w:r>
      <w:r w:rsidR="002478FB">
        <w:t>, and continued: “[t]</w:t>
      </w:r>
      <w:proofErr w:type="gramStart"/>
      <w:r w:rsidR="009C4154">
        <w:t>he</w:t>
      </w:r>
      <w:proofErr w:type="gramEnd"/>
      <w:r w:rsidR="009C4154">
        <w:t xml:space="preserve"> award of interest on costs, certainly as a matter of principle </w:t>
      </w:r>
      <w:r w:rsidR="009C4154">
        <w:lastRenderedPageBreak/>
        <w:t>and</w:t>
      </w:r>
      <w:r>
        <w:t xml:space="preserve"> </w:t>
      </w:r>
      <w:r w:rsidR="009C4154">
        <w:t>discretion, is not, I believe, intended to require a minute examination</w:t>
      </w:r>
      <w:r>
        <w:t xml:space="preserve"> </w:t>
      </w:r>
      <w:r w:rsidR="009C4154">
        <w:t>as to how a successful defendant, in this case, particularly funded the</w:t>
      </w:r>
      <w:r>
        <w:t xml:space="preserve"> </w:t>
      </w:r>
      <w:r w:rsidR="009C4154">
        <w:t>litigation</w:t>
      </w:r>
      <w:r w:rsidR="00B9537C">
        <w:t xml:space="preserve">”, even if there were cases where interest would not be </w:t>
      </w:r>
      <w:r w:rsidR="009C4154">
        <w:t>appropriate</w:t>
      </w:r>
      <w:r w:rsidR="00B9537C">
        <w:t>.</w:t>
      </w:r>
      <w:r w:rsidR="009C4154">
        <w:t xml:space="preserve"> </w:t>
      </w:r>
      <w:r w:rsidR="00FB335B">
        <w:t>T</w:t>
      </w:r>
      <w:r w:rsidR="009C4154">
        <w:t>he award of</w:t>
      </w:r>
      <w:r>
        <w:t xml:space="preserve"> </w:t>
      </w:r>
      <w:r w:rsidR="009C4154">
        <w:t xml:space="preserve">interest on costs </w:t>
      </w:r>
      <w:r w:rsidR="00FB335B">
        <w:t>was, in principle, “</w:t>
      </w:r>
      <w:r w:rsidR="009C4154">
        <w:t>primarily compensatory, to compensate a party in</w:t>
      </w:r>
      <w:r>
        <w:t xml:space="preserve"> </w:t>
      </w:r>
      <w:r w:rsidR="009C4154">
        <w:t>whose favour an order of costs is made against the burden of having</w:t>
      </w:r>
      <w:r>
        <w:t xml:space="preserve"> </w:t>
      </w:r>
      <w:r w:rsidR="009C4154">
        <w:t>had to pay costs as the case has run along</w:t>
      </w:r>
      <w:r w:rsidR="00FB335B">
        <w:t>”</w:t>
      </w:r>
      <w:r w:rsidR="009C4154">
        <w:t>.</w:t>
      </w:r>
    </w:p>
    <w:p w14:paraId="5C66362C" w14:textId="47BAE7EF" w:rsidR="006F45C6" w:rsidRDefault="00310D8D" w:rsidP="00016F7F">
      <w:pPr>
        <w:pStyle w:val="ParaLevel1"/>
      </w:pPr>
      <w:r>
        <w:t xml:space="preserve">In </w:t>
      </w:r>
      <w:r w:rsidRPr="00FA7743">
        <w:rPr>
          <w:i/>
          <w:iCs/>
        </w:rPr>
        <w:t>Fattal v. Walbrook Trustees (Jersey) Ltd</w:t>
      </w:r>
      <w:r>
        <w:t xml:space="preserve"> [2009] 4 Costs LR 591, [2009] EWHC 1674 (Ch)</w:t>
      </w:r>
      <w:r w:rsidR="0076581C">
        <w:t xml:space="preserve"> (</w:t>
      </w:r>
      <w:r w:rsidR="0076581C">
        <w:rPr>
          <w:i/>
          <w:iCs/>
        </w:rPr>
        <w:t>Fattal</w:t>
      </w:r>
      <w:r w:rsidR="0076581C">
        <w:t>)</w:t>
      </w:r>
      <w:r w:rsidR="001B0024">
        <w:t xml:space="preserve">, Christopher Clarke J </w:t>
      </w:r>
      <w:r w:rsidR="00BA7F38">
        <w:t>said at [25]-[26] that an order of pre-judgment interest on costs was not an exceptional occurrence. He repeated its primary purpose</w:t>
      </w:r>
      <w:r w:rsidR="00FA7743">
        <w:t xml:space="preserve">, </w:t>
      </w:r>
      <w:proofErr w:type="gramStart"/>
      <w:r w:rsidR="00FA7743">
        <w:t>namely</w:t>
      </w:r>
      <w:proofErr w:type="gramEnd"/>
      <w:r w:rsidR="00FA7743">
        <w:t xml:space="preserve"> </w:t>
      </w:r>
      <w:r w:rsidR="00BA7F38">
        <w:t>to compensate the recipient for the fact that</w:t>
      </w:r>
      <w:r w:rsidR="00FA7743">
        <w:t xml:space="preserve"> </w:t>
      </w:r>
      <w:r w:rsidR="00BA7F38">
        <w:t>he has been precluded from obtaining a return on the money which he</w:t>
      </w:r>
      <w:r w:rsidR="00FA7743">
        <w:t xml:space="preserve"> </w:t>
      </w:r>
      <w:r w:rsidR="00BA7F38">
        <w:t>has had to expend on costs and has thus been out of pocket</w:t>
      </w:r>
      <w:r w:rsidR="00FA7743">
        <w:t xml:space="preserve">. </w:t>
      </w:r>
      <w:r w:rsidR="00D35E7E">
        <w:t xml:space="preserve">Christopher Clarke J did not, however, think it mattered that </w:t>
      </w:r>
      <w:r w:rsidR="00CA4E63">
        <w:t xml:space="preserve">the costs had </w:t>
      </w:r>
      <w:proofErr w:type="gramStart"/>
      <w:r w:rsidR="00CA4E63">
        <w:t>actually been</w:t>
      </w:r>
      <w:proofErr w:type="gramEnd"/>
      <w:r w:rsidR="00CA4E63">
        <w:t xml:space="preserve"> funded</w:t>
      </w:r>
      <w:r w:rsidR="006F45C6">
        <w:t xml:space="preserve"> by a company owned by the party to the litigation</w:t>
      </w:r>
      <w:r w:rsidR="004D07B5">
        <w:t>, rather than the party itself</w:t>
      </w:r>
      <w:r w:rsidR="006F45C6">
        <w:t>.</w:t>
      </w:r>
    </w:p>
    <w:p w14:paraId="287F8654" w14:textId="080CD830" w:rsidR="006F45C6" w:rsidRDefault="000C5CCF" w:rsidP="00016F7F">
      <w:pPr>
        <w:pStyle w:val="ParaLevel1"/>
      </w:pPr>
      <w:r>
        <w:t xml:space="preserve">The judge correctly cited the statement of principles enunciated by Sharp LJ in </w:t>
      </w:r>
      <w:r w:rsidRPr="00055D71">
        <w:rPr>
          <w:i/>
          <w:iCs/>
        </w:rPr>
        <w:t xml:space="preserve">Jones </w:t>
      </w:r>
      <w:r>
        <w:t>(see [50] of her judgment at [2</w:t>
      </w:r>
      <w:r w:rsidR="00474176">
        <w:t>8</w:t>
      </w:r>
      <w:r>
        <w:t>] above)</w:t>
      </w:r>
      <w:r w:rsidR="00A10ADC">
        <w:t xml:space="preserve">. The key points made </w:t>
      </w:r>
      <w:r w:rsidR="0092593D">
        <w:t xml:space="preserve">in that passage are that the discretion conferred by CPR Part 44.2(6)(g) is </w:t>
      </w:r>
      <w:proofErr w:type="gramStart"/>
      <w:r w:rsidR="0092593D">
        <w:t>at</w:t>
      </w:r>
      <w:r w:rsidR="004B75F5">
        <w:t xml:space="preserve"> large, and</w:t>
      </w:r>
      <w:proofErr w:type="gramEnd"/>
      <w:r w:rsidR="004B75F5">
        <w:t xml:space="preserve"> requires the court to conduct a general appraisal of the position having regard to what is reasonable </w:t>
      </w:r>
      <w:r w:rsidR="00543A19">
        <w:t xml:space="preserve">as between the </w:t>
      </w:r>
      <w:r w:rsidR="004B75F5">
        <w:t>parties</w:t>
      </w:r>
      <w:r w:rsidR="00543A19">
        <w:t xml:space="preserve">. The purpose is to </w:t>
      </w:r>
      <w:r w:rsidR="00A10ADC">
        <w:t>compensate a party who has been deprived of the use of his money, or who has had to borrow money to pay for his legal costs.</w:t>
      </w:r>
      <w:r>
        <w:t xml:space="preserve"> </w:t>
      </w:r>
      <w:r w:rsidR="00AB5DB5">
        <w:t>We were referred to</w:t>
      </w:r>
      <w:r w:rsidR="00F654FC">
        <w:t xml:space="preserve"> </w:t>
      </w:r>
      <w:proofErr w:type="gramStart"/>
      <w:r w:rsidR="00F654FC">
        <w:t>a number of</w:t>
      </w:r>
      <w:proofErr w:type="gramEnd"/>
      <w:r w:rsidR="00F654FC">
        <w:t xml:space="preserve"> other cases</w:t>
      </w:r>
      <w:r w:rsidR="00055D71">
        <w:t xml:space="preserve"> considering </w:t>
      </w:r>
      <w:r w:rsidR="00F654FC">
        <w:t xml:space="preserve">the </w:t>
      </w:r>
      <w:r w:rsidR="00AB5DB5">
        <w:t>discretion exercised under CPR Part 44.2(6)(g)</w:t>
      </w:r>
      <w:r w:rsidR="00055D71">
        <w:t xml:space="preserve">, but I </w:t>
      </w:r>
      <w:r w:rsidR="002B1C43">
        <w:t xml:space="preserve">did not find them to have enunciated any different statement of </w:t>
      </w:r>
      <w:r w:rsidR="00055D71">
        <w:t xml:space="preserve">the </w:t>
      </w:r>
      <w:r w:rsidR="002B1C43">
        <w:t>principle</w:t>
      </w:r>
      <w:r w:rsidR="00055D71">
        <w:t>s.</w:t>
      </w:r>
    </w:p>
    <w:p w14:paraId="06B13980" w14:textId="26F4F550" w:rsidR="008E3628" w:rsidRDefault="008E3628" w:rsidP="00016F7F">
      <w:pPr>
        <w:pStyle w:val="ParaLevel1"/>
        <w:numPr>
          <w:ilvl w:val="0"/>
          <w:numId w:val="0"/>
        </w:numPr>
      </w:pPr>
      <w:r w:rsidRPr="008E3628">
        <w:rPr>
          <w:u w:val="single"/>
        </w:rPr>
        <w:t>D</w:t>
      </w:r>
      <w:r w:rsidR="00730E44" w:rsidRPr="008E3628">
        <w:rPr>
          <w:u w:val="single"/>
        </w:rPr>
        <w:t>iscussion on the scope of the power in CPR Part 44.2(6)(g)</w:t>
      </w:r>
      <w:r w:rsidR="00730E44">
        <w:t xml:space="preserve"> </w:t>
      </w:r>
    </w:p>
    <w:p w14:paraId="150E22E2" w14:textId="2D3A2DEC" w:rsidR="009A58C4" w:rsidRDefault="007003E5" w:rsidP="00016F7F">
      <w:pPr>
        <w:pStyle w:val="ParaLevel1"/>
      </w:pPr>
      <w:r>
        <w:t xml:space="preserve">As already explained at </w:t>
      </w:r>
      <w:r w:rsidR="00222216">
        <w:t>[</w:t>
      </w:r>
      <w:r w:rsidR="00474176">
        <w:t xml:space="preserve">7] and [9]-[10] above, the essential difference between the </w:t>
      </w:r>
      <w:r w:rsidR="00222216">
        <w:t>parties as to the scope of the power is as to whether</w:t>
      </w:r>
      <w:r w:rsidR="00AD37AC">
        <w:t xml:space="preserve"> an award of </w:t>
      </w:r>
      <w:r>
        <w:t xml:space="preserve">pre-judgment interest </w:t>
      </w:r>
      <w:r w:rsidR="00AD37AC">
        <w:t>on costs under CPR Part 44.2(6)(</w:t>
      </w:r>
      <w:r w:rsidR="00BD02C7">
        <w:t xml:space="preserve">g) may </w:t>
      </w:r>
      <w:r w:rsidR="00BD02C7" w:rsidRPr="00974FF5">
        <w:rPr>
          <w:b/>
          <w:bCs/>
        </w:rPr>
        <w:t>only</w:t>
      </w:r>
      <w:r w:rsidR="00BD02C7">
        <w:t xml:space="preserve"> be made where the </w:t>
      </w:r>
      <w:r>
        <w:t>claimants</w:t>
      </w:r>
      <w:r w:rsidR="00BD02C7">
        <w:t xml:space="preserve"> are actually out of pocket or have </w:t>
      </w:r>
      <w:r>
        <w:t>borrowed money to fund their costs.</w:t>
      </w:r>
      <w:r w:rsidR="009D57F9">
        <w:t xml:space="preserve"> The simple question is whether the discretion </w:t>
      </w:r>
      <w:r w:rsidR="00F0733F">
        <w:t xml:space="preserve">can be exercised in favour of a party </w:t>
      </w:r>
      <w:r w:rsidR="004F57BF">
        <w:t>who is</w:t>
      </w:r>
      <w:r w:rsidR="00AC1470">
        <w:t xml:space="preserve"> liable</w:t>
      </w:r>
      <w:r w:rsidR="004F57BF">
        <w:t xml:space="preserve"> (as in this case)</w:t>
      </w:r>
      <w:r w:rsidR="00AC1470">
        <w:t xml:space="preserve"> to compensate someone else (whether the solicitors providing the legal services themselves or a third-party funder) for the fact that legal services have been provided to </w:t>
      </w:r>
      <w:r w:rsidR="006D73AF">
        <w:t>it</w:t>
      </w:r>
      <w:r w:rsidR="00AC1470">
        <w:t xml:space="preserve"> on credit.</w:t>
      </w:r>
      <w:r w:rsidR="00974FF5">
        <w:t xml:space="preserve"> </w:t>
      </w:r>
      <w:r w:rsidR="00E7540C">
        <w:t>The unusual funding mechanism employed in this case has not been</w:t>
      </w:r>
      <w:r w:rsidR="00974FF5">
        <w:t xml:space="preserve"> considered in any of the cases we were shown.</w:t>
      </w:r>
    </w:p>
    <w:p w14:paraId="506B147C" w14:textId="0C2DC621" w:rsidR="001D0F12" w:rsidRDefault="001F179C" w:rsidP="00016F7F">
      <w:pPr>
        <w:pStyle w:val="ParaLevel1"/>
      </w:pPr>
      <w:proofErr w:type="gramStart"/>
      <w:r>
        <w:t xml:space="preserve">It is clear </w:t>
      </w:r>
      <w:r w:rsidR="009A2E04">
        <w:t>that an</w:t>
      </w:r>
      <w:proofErr w:type="gramEnd"/>
      <w:r w:rsidR="009A2E04">
        <w:t xml:space="preserve"> award of pre-judgment interest on costs under CPR Part </w:t>
      </w:r>
      <w:r w:rsidR="006B69D3">
        <w:t>44.2(6)(g)</w:t>
      </w:r>
      <w:r w:rsidR="00512423">
        <w:t xml:space="preserve"> is not an exceptional</w:t>
      </w:r>
      <w:r w:rsidR="008E182C">
        <w:t xml:space="preserve"> or unusual step for the court to take (see </w:t>
      </w:r>
      <w:r w:rsidR="008E182C">
        <w:rPr>
          <w:i/>
          <w:iCs/>
        </w:rPr>
        <w:t>Nova Productions</w:t>
      </w:r>
      <w:r w:rsidR="008E182C">
        <w:t xml:space="preserve">, </w:t>
      </w:r>
      <w:r w:rsidR="008E182C" w:rsidRPr="008E182C">
        <w:rPr>
          <w:i/>
          <w:iCs/>
        </w:rPr>
        <w:t>Fosse</w:t>
      </w:r>
      <w:r w:rsidR="008E182C">
        <w:t xml:space="preserve"> and </w:t>
      </w:r>
      <w:r w:rsidR="008E182C" w:rsidRPr="008E182C">
        <w:rPr>
          <w:i/>
          <w:iCs/>
        </w:rPr>
        <w:t>Fattal</w:t>
      </w:r>
      <w:r w:rsidR="009A2E04">
        <w:t xml:space="preserve"> </w:t>
      </w:r>
      <w:r w:rsidR="008E182C">
        <w:t>at [29]-[31])</w:t>
      </w:r>
      <w:r w:rsidR="001E5E48">
        <w:t>.</w:t>
      </w:r>
      <w:r w:rsidR="00733952" w:rsidRPr="00733952">
        <w:t xml:space="preserve"> </w:t>
      </w:r>
      <w:r w:rsidR="00733952">
        <w:t>In general terms, it is also clear from all the cases I have cited that an award of pre-judgment interest on costs is intended to compensate one party for the loss of the time value of money.</w:t>
      </w:r>
      <w:r w:rsidR="009613C8">
        <w:t xml:space="preserve"> There is, however, nothing in the wording of CPR Part 44.2(6)(g) or </w:t>
      </w:r>
      <w:r w:rsidR="004D5792">
        <w:t xml:space="preserve">elsewhere to suggest that such interest can </w:t>
      </w:r>
      <w:r w:rsidR="004D5792" w:rsidRPr="00D16C7E">
        <w:rPr>
          <w:b/>
          <w:bCs/>
        </w:rPr>
        <w:t>only</w:t>
      </w:r>
      <w:r w:rsidR="004D5792">
        <w:t xml:space="preserve"> be awarded if the receiving party has </w:t>
      </w:r>
      <w:proofErr w:type="gramStart"/>
      <w:r w:rsidR="004D5792">
        <w:t>actually</w:t>
      </w:r>
      <w:r w:rsidR="006928FA">
        <w:t xml:space="preserve"> </w:t>
      </w:r>
      <w:r w:rsidR="004D5792">
        <w:t>expended</w:t>
      </w:r>
      <w:proofErr w:type="gramEnd"/>
      <w:r w:rsidR="004D5792">
        <w:t xml:space="preserve"> money on </w:t>
      </w:r>
      <w:r w:rsidR="00D16C7E">
        <w:t xml:space="preserve">costs or has borrowed money to pay such costs. </w:t>
      </w:r>
      <w:r w:rsidR="006951F8">
        <w:t>Such a rule would fetter the court’s discretion, which would be at odds with the broad discretio</w:t>
      </w:r>
      <w:r w:rsidR="00283F3F">
        <w:t xml:space="preserve">n provided for in the wording of the rule, </w:t>
      </w:r>
      <w:r w:rsidR="00DB71DD">
        <w:t>and with the authorities (see</w:t>
      </w:r>
      <w:r w:rsidR="00C94FF0">
        <w:t xml:space="preserve"> </w:t>
      </w:r>
      <w:r w:rsidR="00C94FF0">
        <w:rPr>
          <w:i/>
          <w:iCs/>
        </w:rPr>
        <w:t>Nova Productions</w:t>
      </w:r>
      <w:r w:rsidR="00C94FF0">
        <w:t xml:space="preserve"> at [</w:t>
      </w:r>
      <w:r w:rsidR="000A2997">
        <w:t>31</w:t>
      </w:r>
      <w:r w:rsidR="00C94FF0">
        <w:t xml:space="preserve">] and </w:t>
      </w:r>
      <w:r w:rsidR="00EF1DE8">
        <w:t xml:space="preserve">the passage from </w:t>
      </w:r>
      <w:r w:rsidR="00C94FF0">
        <w:rPr>
          <w:i/>
          <w:iCs/>
        </w:rPr>
        <w:t>Jones</w:t>
      </w:r>
      <w:r w:rsidR="00EF1DE8">
        <w:rPr>
          <w:i/>
          <w:iCs/>
        </w:rPr>
        <w:t xml:space="preserve"> </w:t>
      </w:r>
      <w:r w:rsidR="00EF1DE8">
        <w:t>cited in the judge’s judgment at [5</w:t>
      </w:r>
      <w:r w:rsidR="001D0F12">
        <w:t>0</w:t>
      </w:r>
      <w:r w:rsidR="00EF1DE8">
        <w:t>]</w:t>
      </w:r>
      <w:r w:rsidR="001D0F12">
        <w:t xml:space="preserve"> – see [28] above).</w:t>
      </w:r>
    </w:p>
    <w:p w14:paraId="42651BC9" w14:textId="681C98C1" w:rsidR="005B4FEB" w:rsidRDefault="000603EA" w:rsidP="00016F7F">
      <w:pPr>
        <w:pStyle w:val="ParaLevel1"/>
      </w:pPr>
      <w:r>
        <w:t xml:space="preserve">In this case, and presumably in many other litigation funding situations, the </w:t>
      </w:r>
      <w:r w:rsidR="00D802E3">
        <w:t xml:space="preserve">claimants had no obligation to pay their solicitors’ costs unless their claims were successful. At </w:t>
      </w:r>
      <w:r w:rsidR="00D802E3">
        <w:lastRenderedPageBreak/>
        <w:t xml:space="preserve">that stage, however, the claimants became liable to pay their solicitors’ base costs and </w:t>
      </w:r>
      <w:r w:rsidR="009A66BF">
        <w:t xml:space="preserve">a success fee. It was not in dispute before us that the success fees payable in this case could be assumed to include some element of compensation for the </w:t>
      </w:r>
      <w:r w:rsidR="002805C9">
        <w:t>credit provided in respect of the solicitors’ costs.</w:t>
      </w:r>
      <w:r w:rsidR="0072172E">
        <w:t xml:space="preserve"> I would </w:t>
      </w:r>
      <w:r w:rsidR="000C52BC">
        <w:t xml:space="preserve">endorse what Akenhead J said in </w:t>
      </w:r>
      <w:r w:rsidR="000C52BC">
        <w:rPr>
          <w:i/>
          <w:iCs/>
        </w:rPr>
        <w:t xml:space="preserve">Fosse </w:t>
      </w:r>
      <w:r w:rsidR="000C52BC">
        <w:t xml:space="preserve">to the </w:t>
      </w:r>
      <w:r w:rsidR="00CC1128">
        <w:t xml:space="preserve">effect that </w:t>
      </w:r>
      <w:r w:rsidR="00126D86">
        <w:t xml:space="preserve">an application for pre-judgment costs should not </w:t>
      </w:r>
      <w:r w:rsidR="00D076E6">
        <w:t xml:space="preserve">normally </w:t>
      </w:r>
      <w:r w:rsidR="00126D86">
        <w:t xml:space="preserve">entail </w:t>
      </w:r>
      <w:r w:rsidR="000C52BC">
        <w:t xml:space="preserve">a minute examination </w:t>
      </w:r>
      <w:r w:rsidR="00D076E6">
        <w:t xml:space="preserve">of the funding mechanism. It was clear in this case, and will be clear in many cases, that </w:t>
      </w:r>
      <w:r w:rsidR="001D0D19">
        <w:t>the receiving parties were</w:t>
      </w:r>
      <w:r w:rsidR="00D076E6">
        <w:t xml:space="preserve"> obliged to </w:t>
      </w:r>
      <w:r w:rsidR="00E2048B">
        <w:t xml:space="preserve">provide </w:t>
      </w:r>
      <w:r w:rsidR="00D076E6">
        <w:t>compensat</w:t>
      </w:r>
      <w:r w:rsidR="00E2048B">
        <w:t xml:space="preserve">ion for the time value of the money used to fund </w:t>
      </w:r>
      <w:r w:rsidR="00F00585">
        <w:t>the</w:t>
      </w:r>
      <w:r w:rsidR="001D0D19">
        <w:t>ir</w:t>
      </w:r>
      <w:r w:rsidR="00F00585">
        <w:t xml:space="preserve"> costs</w:t>
      </w:r>
      <w:r w:rsidR="001D0D19">
        <w:t xml:space="preserve">. </w:t>
      </w:r>
      <w:r w:rsidR="00B607FE">
        <w:t>In this case, that obligation was, as the judge said</w:t>
      </w:r>
      <w:r w:rsidR="009F6192">
        <w:t xml:space="preserve"> at [51]</w:t>
      </w:r>
      <w:r w:rsidR="00B607FE">
        <w:t>, through payment of the success fee</w:t>
      </w:r>
      <w:r w:rsidR="00ED7A6C">
        <w:t>:</w:t>
      </w:r>
      <w:r w:rsidR="005B4FEB" w:rsidRPr="00662F3B">
        <w:t xml:space="preserve"> </w:t>
      </w:r>
      <w:r w:rsidR="00ED7A6C">
        <w:t>“</w:t>
      </w:r>
      <w:r w:rsidR="005B4FEB" w:rsidRPr="00662F3B">
        <w:t>reflecting the costs of funding the litigation, thereby reducing any damages received</w:t>
      </w:r>
      <w:r w:rsidR="00ED7A6C">
        <w:t>”.</w:t>
      </w:r>
    </w:p>
    <w:p w14:paraId="7DED43E6" w14:textId="0C695D24" w:rsidR="007003E5" w:rsidRDefault="000544BD" w:rsidP="00016F7F">
      <w:pPr>
        <w:pStyle w:val="ParaLevel1"/>
      </w:pPr>
      <w:r>
        <w:t xml:space="preserve">Accordingly, in my judgment, the </w:t>
      </w:r>
      <w:r w:rsidR="007003E5">
        <w:t xml:space="preserve">power in </w:t>
      </w:r>
      <w:r w:rsidR="007003E5" w:rsidRPr="000544BD">
        <w:rPr>
          <w:rStyle w:val="VerbatimChar"/>
          <w:rFonts w:ascii="Times New Roman" w:hAnsi="Times New Roman" w:cs="Times New Roman"/>
          <w:sz w:val="24"/>
          <w:szCs w:val="24"/>
        </w:rPr>
        <w:t>CPR Part 44.2(6)(g) provides a broad discretion to compensate for the loss of the time value of money</w:t>
      </w:r>
      <w:r w:rsidR="00100404">
        <w:rPr>
          <w:rStyle w:val="VerbatimChar"/>
          <w:rFonts w:ascii="Times New Roman" w:hAnsi="Times New Roman" w:cs="Times New Roman"/>
          <w:sz w:val="24"/>
          <w:szCs w:val="24"/>
        </w:rPr>
        <w:t xml:space="preserve">, which is for the </w:t>
      </w:r>
      <w:r w:rsidR="007003E5" w:rsidRPr="000544BD">
        <w:rPr>
          <w:rStyle w:val="VerbatimChar"/>
          <w:rFonts w:ascii="Times New Roman" w:hAnsi="Times New Roman" w:cs="Times New Roman"/>
          <w:sz w:val="24"/>
          <w:szCs w:val="24"/>
        </w:rPr>
        <w:t xml:space="preserve">purpose </w:t>
      </w:r>
      <w:r w:rsidR="00100404">
        <w:rPr>
          <w:rStyle w:val="VerbatimChar"/>
          <w:rFonts w:ascii="Times New Roman" w:hAnsi="Times New Roman" w:cs="Times New Roman"/>
          <w:sz w:val="24"/>
          <w:szCs w:val="24"/>
        </w:rPr>
        <w:t xml:space="preserve">of </w:t>
      </w:r>
      <w:r w:rsidR="007003E5" w:rsidRPr="000544BD">
        <w:rPr>
          <w:rStyle w:val="VerbatimChar"/>
          <w:rFonts w:ascii="Times New Roman" w:hAnsi="Times New Roman" w:cs="Times New Roman"/>
          <w:sz w:val="24"/>
          <w:szCs w:val="24"/>
        </w:rPr>
        <w:t>compensat</w:t>
      </w:r>
      <w:r w:rsidR="00100404">
        <w:rPr>
          <w:rStyle w:val="VerbatimChar"/>
          <w:rFonts w:ascii="Times New Roman" w:hAnsi="Times New Roman" w:cs="Times New Roman"/>
          <w:sz w:val="24"/>
          <w:szCs w:val="24"/>
        </w:rPr>
        <w:t>ing</w:t>
      </w:r>
      <w:r w:rsidR="007003E5" w:rsidRPr="000544BD">
        <w:rPr>
          <w:rStyle w:val="VerbatimChar"/>
          <w:rFonts w:ascii="Times New Roman" w:hAnsi="Times New Roman" w:cs="Times New Roman"/>
          <w:sz w:val="24"/>
          <w:szCs w:val="24"/>
        </w:rPr>
        <w:t xml:space="preserve"> the </w:t>
      </w:r>
      <w:r w:rsidR="00100404">
        <w:rPr>
          <w:rStyle w:val="VerbatimChar"/>
          <w:rFonts w:ascii="Times New Roman" w:hAnsi="Times New Roman" w:cs="Times New Roman"/>
          <w:sz w:val="24"/>
          <w:szCs w:val="24"/>
        </w:rPr>
        <w:t>receiving party</w:t>
      </w:r>
      <w:r w:rsidR="007003E5" w:rsidRPr="000544BD">
        <w:rPr>
          <w:rStyle w:val="VerbatimChar"/>
          <w:rFonts w:ascii="Times New Roman" w:hAnsi="Times New Roman" w:cs="Times New Roman"/>
          <w:sz w:val="24"/>
          <w:szCs w:val="24"/>
        </w:rPr>
        <w:t xml:space="preserve"> </w:t>
      </w:r>
      <w:r w:rsidR="007003E5">
        <w:t>either for having been kept out of its money or for itself being liable to compensate someone else (whether the solicitors providing the legal services themselves, an insurer or a third-party funder) for the fact that legal services have been provided on credit.</w:t>
      </w:r>
    </w:p>
    <w:p w14:paraId="47EE4C83" w14:textId="274BC051" w:rsidR="008E3628" w:rsidRPr="008E3628" w:rsidRDefault="00730E44" w:rsidP="00016F7F">
      <w:pPr>
        <w:pStyle w:val="ParaLevel1"/>
        <w:numPr>
          <w:ilvl w:val="0"/>
          <w:numId w:val="0"/>
        </w:numPr>
        <w:rPr>
          <w:u w:val="single"/>
        </w:rPr>
      </w:pPr>
      <w:r w:rsidRPr="008E3628">
        <w:rPr>
          <w:i/>
          <w:iCs/>
          <w:u w:val="single"/>
        </w:rPr>
        <w:t>Hirachand</w:t>
      </w:r>
      <w:r w:rsidRPr="008E3628">
        <w:rPr>
          <w:u w:val="single"/>
        </w:rPr>
        <w:t xml:space="preserve"> </w:t>
      </w:r>
    </w:p>
    <w:p w14:paraId="60302E0A" w14:textId="66CD9058" w:rsidR="008E3628" w:rsidRDefault="00ED1FD6" w:rsidP="00016F7F">
      <w:pPr>
        <w:pStyle w:val="ParaLevel1"/>
      </w:pPr>
      <w:r>
        <w:t xml:space="preserve">In the light of what I have already said, the judge had power to make the challenged order, unless </w:t>
      </w:r>
      <w:r w:rsidR="00CC481F">
        <w:t>section 58</w:t>
      </w:r>
      <w:proofErr w:type="gramStart"/>
      <w:r w:rsidR="00CC481F">
        <w:t>A(</w:t>
      </w:r>
      <w:proofErr w:type="gramEnd"/>
      <w:r w:rsidR="00CC481F">
        <w:t>6) or the authorities on success fees</w:t>
      </w:r>
      <w:r w:rsidR="00BD67FD">
        <w:t xml:space="preserve"> forbid it.</w:t>
      </w:r>
      <w:r w:rsidR="002A1DBF">
        <w:t xml:space="preserve"> </w:t>
      </w:r>
      <w:r w:rsidR="00D23442">
        <w:t xml:space="preserve">BHP submits that </w:t>
      </w:r>
      <w:r w:rsidR="00562B09" w:rsidRPr="00562B09">
        <w:rPr>
          <w:i/>
          <w:iCs/>
        </w:rPr>
        <w:t>Hirachand</w:t>
      </w:r>
      <w:r w:rsidR="00562B09">
        <w:t xml:space="preserve"> has such an effect.</w:t>
      </w:r>
    </w:p>
    <w:p w14:paraId="3F0D9076" w14:textId="5BAF8FDB" w:rsidR="00551839" w:rsidRDefault="00D22BCA" w:rsidP="00016F7F">
      <w:pPr>
        <w:pStyle w:val="ParaLevel1"/>
      </w:pPr>
      <w:r>
        <w:t xml:space="preserve">In </w:t>
      </w:r>
      <w:r w:rsidR="00562B09" w:rsidRPr="003A44F4">
        <w:rPr>
          <w:i/>
          <w:iCs/>
        </w:rPr>
        <w:t>Hirachand</w:t>
      </w:r>
      <w:r>
        <w:t>,</w:t>
      </w:r>
      <w:r w:rsidR="00562B09">
        <w:t xml:space="preserve"> </w:t>
      </w:r>
      <w:r w:rsidR="004922A7">
        <w:t xml:space="preserve">the claimant succeeded in </w:t>
      </w:r>
      <w:r w:rsidR="00961F49">
        <w:t>obtaining an order for financial provision under section 2</w:t>
      </w:r>
      <w:r w:rsidR="00D52D68">
        <w:t xml:space="preserve"> </w:t>
      </w:r>
      <w:r w:rsidR="00B63C53">
        <w:t>of the</w:t>
      </w:r>
      <w:r w:rsidR="009E7973">
        <w:t xml:space="preserve"> </w:t>
      </w:r>
      <w:r w:rsidR="008F3160">
        <w:t>Inheritance Act</w:t>
      </w:r>
      <w:r w:rsidR="009B608C">
        <w:t>. The judge awarded the claimant a lump sum calculated by reference to her financial needs</w:t>
      </w:r>
      <w:r w:rsidR="00F864FF">
        <w:t xml:space="preserve">, which also </w:t>
      </w:r>
      <w:r w:rsidR="009B608C">
        <w:t>includ</w:t>
      </w:r>
      <w:r w:rsidR="00E0431D">
        <w:t>ed</w:t>
      </w:r>
      <w:r w:rsidR="009B608C">
        <w:t xml:space="preserve"> an amount referable to the claimant’s liability to pay</w:t>
      </w:r>
      <w:r w:rsidR="002D4B5D">
        <w:t xml:space="preserve"> her solicitors</w:t>
      </w:r>
      <w:r w:rsidR="009B608C">
        <w:t xml:space="preserve"> </w:t>
      </w:r>
      <w:r w:rsidR="002D4B5D">
        <w:t>a success fee under a CFA.</w:t>
      </w:r>
      <w:r w:rsidR="004D01D5">
        <w:t xml:space="preserve"> The Supreme Court held that</w:t>
      </w:r>
      <w:r w:rsidR="00621B6B">
        <w:t xml:space="preserve"> success fees were costs, and</w:t>
      </w:r>
      <w:r w:rsidR="004D01D5">
        <w:t xml:space="preserve"> </w:t>
      </w:r>
      <w:r w:rsidR="000A2AA3">
        <w:t xml:space="preserve">the costs of </w:t>
      </w:r>
      <w:r w:rsidR="004922A7">
        <w:t>civil</w:t>
      </w:r>
      <w:r w:rsidR="000A2AA3">
        <w:t xml:space="preserve"> </w:t>
      </w:r>
      <w:r w:rsidR="004922A7">
        <w:t>proceedings were to be dealt with exclusively in accordance with the CPR</w:t>
      </w:r>
      <w:r w:rsidR="003A44F4">
        <w:t xml:space="preserve">. They could not </w:t>
      </w:r>
      <w:r w:rsidR="004922A7">
        <w:t>be recovered by substantive relief in th</w:t>
      </w:r>
      <w:r w:rsidR="003A44F4">
        <w:t>e</w:t>
      </w:r>
      <w:r w:rsidR="004922A7">
        <w:t xml:space="preserve"> proceedings</w:t>
      </w:r>
      <w:r w:rsidR="003A44F4">
        <w:t xml:space="preserve">. Moreover, the order the judge had made </w:t>
      </w:r>
      <w:r w:rsidR="00551839">
        <w:t xml:space="preserve">in respect of the success fee </w:t>
      </w:r>
      <w:r w:rsidR="003A44F4">
        <w:t xml:space="preserve">was a “costs order” </w:t>
      </w:r>
      <w:r w:rsidR="00551839">
        <w:t xml:space="preserve">which was prohibited under </w:t>
      </w:r>
      <w:r w:rsidR="003A44F4">
        <w:t xml:space="preserve">section </w:t>
      </w:r>
      <w:r w:rsidR="004922A7">
        <w:t>58</w:t>
      </w:r>
      <w:proofErr w:type="gramStart"/>
      <w:r w:rsidR="004922A7">
        <w:t>A(</w:t>
      </w:r>
      <w:proofErr w:type="gramEnd"/>
      <w:r w:rsidR="004922A7">
        <w:t>6)</w:t>
      </w:r>
      <w:r w:rsidR="00551839">
        <w:t>.</w:t>
      </w:r>
    </w:p>
    <w:p w14:paraId="67C4100A" w14:textId="53DDA949" w:rsidR="003B7F71" w:rsidRDefault="003B7F71" w:rsidP="00016F7F">
      <w:pPr>
        <w:pStyle w:val="ParaLevel1"/>
      </w:pPr>
      <w:r>
        <w:t xml:space="preserve">Lord Richards explained </w:t>
      </w:r>
      <w:r w:rsidR="0052182B">
        <w:t xml:space="preserve">the history of success fees </w:t>
      </w:r>
      <w:r>
        <w:t>at [42]-[54]</w:t>
      </w:r>
      <w:r w:rsidR="001258EF">
        <w:t xml:space="preserve"> of his judgment in </w:t>
      </w:r>
      <w:r w:rsidR="001258EF" w:rsidRPr="00283A9A">
        <w:rPr>
          <w:i/>
          <w:iCs/>
        </w:rPr>
        <w:t>Hirachand</w:t>
      </w:r>
      <w:r w:rsidR="0052182B">
        <w:t xml:space="preserve">. He referred at </w:t>
      </w:r>
      <w:r w:rsidR="00832CDF">
        <w:t xml:space="preserve">[49] to the Government’s response to Lord Justice Jackson’s recommendations concerning success fees (see also </w:t>
      </w:r>
      <w:r w:rsidR="00AB5089">
        <w:t xml:space="preserve">[23] above). At [50], Lord Richards said that the Government’s intention that </w:t>
      </w:r>
      <w:r w:rsidR="00283A9A">
        <w:t>“</w:t>
      </w:r>
      <w:r w:rsidR="00AB5089">
        <w:t>any success fee would be payable by the</w:t>
      </w:r>
      <w:r w:rsidR="00283A9A">
        <w:t xml:space="preserve"> </w:t>
      </w:r>
      <w:r w:rsidR="00AB5089">
        <w:t>CFA-funded party and not by the losing side could not have been more</w:t>
      </w:r>
      <w:r w:rsidR="00283A9A">
        <w:t xml:space="preserve"> </w:t>
      </w:r>
      <w:r w:rsidR="00AB5089">
        <w:t>clearly expressed</w:t>
      </w:r>
      <w:r w:rsidR="00283A9A">
        <w:t>”</w:t>
      </w:r>
      <w:r w:rsidR="00AB5089">
        <w:t>.</w:t>
      </w:r>
      <w:r w:rsidR="00B7007D">
        <w:t xml:space="preserve"> At [52], he pointed out that Lord Justice Jackson </w:t>
      </w:r>
      <w:r w:rsidR="00A11E6E">
        <w:t xml:space="preserve">had not suggested an exception to allow Inheritance Act claims </w:t>
      </w:r>
      <w:r w:rsidR="009A542E">
        <w:t>to include awards of success fees.</w:t>
      </w:r>
      <w:r w:rsidR="00B05944">
        <w:t xml:space="preserve"> At [56], Lord Richards explained the general principle that costs were to be dealt with </w:t>
      </w:r>
      <w:r w:rsidR="00E55F92">
        <w:t>under the CPR</w:t>
      </w:r>
      <w:r w:rsidR="00F86A0B">
        <w:t xml:space="preserve">, and at </w:t>
      </w:r>
      <w:r w:rsidR="00E97EB0">
        <w:t xml:space="preserve">[62]-[63], why </w:t>
      </w:r>
      <w:r w:rsidR="00D87630">
        <w:t>Inheritance Act claims did not</w:t>
      </w:r>
      <w:r w:rsidR="001A4B28">
        <w:t xml:space="preserve"> provide an exception to that rule</w:t>
      </w:r>
      <w:r w:rsidR="00770319">
        <w:t xml:space="preserve"> allowing irrecoverable success fees to be recovered</w:t>
      </w:r>
      <w:r w:rsidR="001A4B28">
        <w:t>.</w:t>
      </w:r>
      <w:r w:rsidR="00D87630">
        <w:t xml:space="preserve"> </w:t>
      </w:r>
    </w:p>
    <w:p w14:paraId="696D0A9A" w14:textId="5B57F09D" w:rsidR="00B273E9" w:rsidRDefault="00DC727E" w:rsidP="00016F7F">
      <w:pPr>
        <w:pStyle w:val="ParaLevel1"/>
      </w:pPr>
      <w:r>
        <w:t xml:space="preserve">At [77]-[85], Lord Richards dealt with </w:t>
      </w:r>
      <w:r w:rsidR="007F6C34">
        <w:t>the meaning and effect of section 58</w:t>
      </w:r>
      <w:proofErr w:type="gramStart"/>
      <w:r w:rsidR="007F6C34">
        <w:t>A(</w:t>
      </w:r>
      <w:proofErr w:type="gramEnd"/>
      <w:r w:rsidR="007F6C34">
        <w:t xml:space="preserve">6). He said </w:t>
      </w:r>
      <w:r w:rsidR="00B54DB1">
        <w:t xml:space="preserve">at [80] that </w:t>
      </w:r>
      <w:r w:rsidR="00B54DB1" w:rsidRPr="00B54DB1">
        <w:t xml:space="preserve">a </w:t>
      </w:r>
      <w:r w:rsidR="00B54DB1">
        <w:t>“</w:t>
      </w:r>
      <w:r w:rsidR="00B54DB1" w:rsidRPr="00B54DB1">
        <w:t>costs order</w:t>
      </w:r>
      <w:r w:rsidR="00B54DB1">
        <w:t xml:space="preserve">” under </w:t>
      </w:r>
      <w:r w:rsidR="00B54DB1" w:rsidRPr="00B54DB1">
        <w:t>section 58</w:t>
      </w:r>
      <w:proofErr w:type="gramStart"/>
      <w:r w:rsidR="00B54DB1" w:rsidRPr="00B54DB1">
        <w:t>A(</w:t>
      </w:r>
      <w:proofErr w:type="gramEnd"/>
      <w:r w:rsidR="00B54DB1" w:rsidRPr="00B54DB1">
        <w:t>6) includ</w:t>
      </w:r>
      <w:r w:rsidR="00B54DB1">
        <w:t>ed</w:t>
      </w:r>
      <w:r w:rsidR="00BC594E">
        <w:t>:</w:t>
      </w:r>
      <w:r w:rsidR="00B54DB1" w:rsidRPr="00B54DB1">
        <w:t xml:space="preserve"> </w:t>
      </w:r>
      <w:r w:rsidR="00B273E9">
        <w:t>“</w:t>
      </w:r>
      <w:r w:rsidR="00B54DB1" w:rsidRPr="00B54DB1">
        <w:t>any order which</w:t>
      </w:r>
      <w:r w:rsidR="00B273E9">
        <w:t xml:space="preserve"> </w:t>
      </w:r>
      <w:r w:rsidR="00B54DB1" w:rsidRPr="00B54DB1">
        <w:t>dealt with the costs of the proceedings in which it was made, irrespective of</w:t>
      </w:r>
      <w:r w:rsidR="00B273E9">
        <w:t xml:space="preserve"> </w:t>
      </w:r>
      <w:r w:rsidR="00B54DB1" w:rsidRPr="00B54DB1">
        <w:t>the statutory provision or other jurisdiction under which it was made</w:t>
      </w:r>
      <w:r w:rsidR="00B273E9">
        <w:t>”</w:t>
      </w:r>
      <w:r w:rsidR="00B54DB1" w:rsidRPr="00B54DB1">
        <w:t>.</w:t>
      </w:r>
      <w:r w:rsidR="006D2B62">
        <w:t xml:space="preserve"> He concluded at [84] that it was not permissible for </w:t>
      </w:r>
      <w:r w:rsidR="00F63EA0">
        <w:t>success fees to be recovered as part of an award under the Inheritance Act.</w:t>
      </w:r>
    </w:p>
    <w:p w14:paraId="2549949C" w14:textId="6E804FC1" w:rsidR="008E3628" w:rsidRPr="008E3628" w:rsidRDefault="008E3628" w:rsidP="00016F7F">
      <w:pPr>
        <w:pStyle w:val="ParaLevel1"/>
        <w:numPr>
          <w:ilvl w:val="0"/>
          <w:numId w:val="0"/>
        </w:numPr>
        <w:rPr>
          <w:u w:val="single"/>
        </w:rPr>
      </w:pPr>
      <w:r w:rsidRPr="008E3628">
        <w:rPr>
          <w:u w:val="single"/>
        </w:rPr>
        <w:lastRenderedPageBreak/>
        <w:t>D</w:t>
      </w:r>
      <w:r w:rsidR="00730E44" w:rsidRPr="008E3628">
        <w:rPr>
          <w:u w:val="single"/>
        </w:rPr>
        <w:t>iscussion o</w:t>
      </w:r>
      <w:r w:rsidR="00D12298">
        <w:rPr>
          <w:u w:val="single"/>
        </w:rPr>
        <w:t>f</w:t>
      </w:r>
      <w:r w:rsidR="00730E44" w:rsidRPr="008E3628">
        <w:rPr>
          <w:u w:val="single"/>
        </w:rPr>
        <w:t xml:space="preserve"> the effect of </w:t>
      </w:r>
      <w:r w:rsidR="00730E44" w:rsidRPr="008E3628">
        <w:rPr>
          <w:i/>
          <w:iCs/>
          <w:u w:val="single"/>
        </w:rPr>
        <w:t>Hirachand</w:t>
      </w:r>
      <w:r w:rsidR="00730E44" w:rsidRPr="008E3628">
        <w:rPr>
          <w:u w:val="single"/>
        </w:rPr>
        <w:t xml:space="preserve"> </w:t>
      </w:r>
    </w:p>
    <w:p w14:paraId="49BCDE27" w14:textId="5686A2F4" w:rsidR="00CE4146" w:rsidRDefault="00D12298" w:rsidP="00016F7F">
      <w:pPr>
        <w:pStyle w:val="ParaLevel1"/>
      </w:pPr>
      <w:r>
        <w:t>I have already stated the principle</w:t>
      </w:r>
      <w:r w:rsidR="00EE16CA">
        <w:t>s</w:t>
      </w:r>
      <w:r>
        <w:t xml:space="preserve"> to be derived from </w:t>
      </w:r>
      <w:r>
        <w:rPr>
          <w:i/>
          <w:iCs/>
        </w:rPr>
        <w:t>Hirachand</w:t>
      </w:r>
      <w:r>
        <w:t xml:space="preserve">. </w:t>
      </w:r>
      <w:r w:rsidR="00D62B34">
        <w:t xml:space="preserve">They are, in essence, that </w:t>
      </w:r>
      <w:r w:rsidR="0081242B">
        <w:t>costs</w:t>
      </w:r>
      <w:r w:rsidR="00142D2A">
        <w:t xml:space="preserve"> (including </w:t>
      </w:r>
      <w:r w:rsidR="007C2898">
        <w:t xml:space="preserve">success fees </w:t>
      </w:r>
      <w:r w:rsidR="00142D2A">
        <w:t xml:space="preserve">which </w:t>
      </w:r>
      <w:r w:rsidR="007C2898">
        <w:t>were always to be regarded as costs of civil proceedings</w:t>
      </w:r>
      <w:r w:rsidR="00142D2A">
        <w:t>)</w:t>
      </w:r>
      <w:r w:rsidR="00CF613C">
        <w:t xml:space="preserve"> </w:t>
      </w:r>
      <w:r w:rsidR="00142D2A">
        <w:t xml:space="preserve">were </w:t>
      </w:r>
      <w:r w:rsidR="00CF613C">
        <w:t>to</w:t>
      </w:r>
      <w:r w:rsidR="00CE4146">
        <w:t xml:space="preserve"> be dealt with exclusively in accordance with the CPR. They could not be recovered by substantive relief in </w:t>
      </w:r>
      <w:r w:rsidR="00CF613C">
        <w:t>Inheritance Act</w:t>
      </w:r>
      <w:r w:rsidR="00CE4146">
        <w:t xml:space="preserve"> proceedings. </w:t>
      </w:r>
      <w:r w:rsidR="00CF292D">
        <w:t>A substantive order</w:t>
      </w:r>
      <w:r w:rsidR="00B22E7D">
        <w:t xml:space="preserve"> in respect of a success fee</w:t>
      </w:r>
      <w:r w:rsidR="00CF292D">
        <w:t xml:space="preserve"> made under the Inheritance Act was to be regarded as a</w:t>
      </w:r>
      <w:r w:rsidR="00B22E7D">
        <w:t xml:space="preserve"> prohibited</w:t>
      </w:r>
      <w:r w:rsidR="00CF292D">
        <w:t xml:space="preserve"> </w:t>
      </w:r>
      <w:r w:rsidR="00B22E7D">
        <w:t>“</w:t>
      </w:r>
      <w:r w:rsidR="00CF292D">
        <w:t>costs order</w:t>
      </w:r>
      <w:r w:rsidR="00B22E7D">
        <w:t>”</w:t>
      </w:r>
      <w:r w:rsidR="00CF292D">
        <w:t xml:space="preserve"> falling within </w:t>
      </w:r>
      <w:r w:rsidR="00CE4146">
        <w:t>section 58</w:t>
      </w:r>
      <w:proofErr w:type="gramStart"/>
      <w:r w:rsidR="00CE4146">
        <w:t>A(</w:t>
      </w:r>
      <w:proofErr w:type="gramEnd"/>
      <w:r w:rsidR="00CE4146">
        <w:t>6).</w:t>
      </w:r>
    </w:p>
    <w:p w14:paraId="58E96934" w14:textId="792EA164" w:rsidR="00D940AA" w:rsidRDefault="00D7449F" w:rsidP="00016F7F">
      <w:pPr>
        <w:pStyle w:val="ParaLevel1"/>
      </w:pPr>
      <w:r>
        <w:t>BHP</w:t>
      </w:r>
      <w:r w:rsidR="00796FA2">
        <w:t xml:space="preserve"> submitted that </w:t>
      </w:r>
      <w:r w:rsidRPr="00796FA2">
        <w:rPr>
          <w:i/>
          <w:iCs/>
        </w:rPr>
        <w:t>Hirachand</w:t>
      </w:r>
      <w:r w:rsidR="00796FA2">
        <w:t xml:space="preserve"> made clear that </w:t>
      </w:r>
      <w:r w:rsidR="0065640A">
        <w:t xml:space="preserve">neither the general rule as to irrecoverability of success fees nor </w:t>
      </w:r>
      <w:r w:rsidR="0044575B">
        <w:t>section 58</w:t>
      </w:r>
      <w:proofErr w:type="gramStart"/>
      <w:r w:rsidR="0044575B">
        <w:t>A(</w:t>
      </w:r>
      <w:proofErr w:type="gramEnd"/>
      <w:r w:rsidR="0044575B">
        <w:t>6) could be circumvented</w:t>
      </w:r>
      <w:r w:rsidR="00E1134F">
        <w:t xml:space="preserve"> by the backdoor.</w:t>
      </w:r>
      <w:r w:rsidR="00FD79E9">
        <w:t xml:space="preserve"> It was the substance that mattered. BHP relied particularly on</w:t>
      </w:r>
      <w:r w:rsidR="00A0387F">
        <w:t xml:space="preserve"> what</w:t>
      </w:r>
      <w:r w:rsidR="00E1134F">
        <w:t xml:space="preserve"> Lord Richards had said at [80] and [8</w:t>
      </w:r>
      <w:r w:rsidR="00DB1824">
        <w:t>5</w:t>
      </w:r>
      <w:r w:rsidR="00E1134F">
        <w:t>]:</w:t>
      </w:r>
    </w:p>
    <w:p w14:paraId="492F53BD" w14:textId="77777777" w:rsidR="00DB1824" w:rsidRDefault="00D7449F" w:rsidP="00016F7F">
      <w:pPr>
        <w:pStyle w:val="ParaLevel1"/>
        <w:numPr>
          <w:ilvl w:val="0"/>
          <w:numId w:val="0"/>
        </w:numPr>
        <w:ind w:left="1134"/>
      </w:pPr>
      <w:r>
        <w:t>First, given the clear public policy underpinning the prohibition on the recovery of success fees in civil proceedings contained in section 58</w:t>
      </w:r>
      <w:proofErr w:type="gramStart"/>
      <w:r>
        <w:t>A(</w:t>
      </w:r>
      <w:proofErr w:type="gramEnd"/>
      <w:r>
        <w:t>6), it would be very surprising if a success fee, which is not recoverable under the costs regime, was nonetheless recoverable as part of the substantive award. The policy, so clearly spelt out in Lord Justice Jackson’s Report, would be wholly undermined in the cases where that was held to be possible. I construe a “costs order” in section 58</w:t>
      </w:r>
      <w:proofErr w:type="gramStart"/>
      <w:r>
        <w:t>A(</w:t>
      </w:r>
      <w:proofErr w:type="gramEnd"/>
      <w:r>
        <w:t xml:space="preserve">6) as including any order which dealt with the costs of the proceedings in which it was made, irrespective of the statutory provision or other jurisdiction under which it was made. </w:t>
      </w:r>
    </w:p>
    <w:p w14:paraId="69F3262C" w14:textId="357B17E5" w:rsidR="00FD79E9" w:rsidRDefault="00D7449F" w:rsidP="00016F7F">
      <w:pPr>
        <w:pStyle w:val="ParaLevel1"/>
        <w:numPr>
          <w:ilvl w:val="0"/>
          <w:numId w:val="0"/>
        </w:numPr>
        <w:ind w:left="1134"/>
      </w:pPr>
      <w:r>
        <w:t>The position is simply that the judge cannot in determining</w:t>
      </w:r>
      <w:r w:rsidR="00DB1824">
        <w:t xml:space="preserve"> </w:t>
      </w:r>
      <w:r>
        <w:t xml:space="preserve">the appropriate relief include directly or indirectly any allowance for the success fee. </w:t>
      </w:r>
    </w:p>
    <w:p w14:paraId="3A02F5E1" w14:textId="7D3E46DD" w:rsidR="008E3628" w:rsidRDefault="00A0387F" w:rsidP="00016F7F">
      <w:pPr>
        <w:pStyle w:val="ParaLevel1"/>
        <w:numPr>
          <w:ilvl w:val="0"/>
          <w:numId w:val="0"/>
        </w:numPr>
        <w:ind w:left="720"/>
      </w:pPr>
      <w:r>
        <w:t xml:space="preserve">BHP referred also to the decision of Leech J in </w:t>
      </w:r>
      <w:r w:rsidR="00D7449F" w:rsidRPr="00A0387F">
        <w:rPr>
          <w:i/>
          <w:iCs/>
        </w:rPr>
        <w:t>Musst Holdings v</w:t>
      </w:r>
      <w:r w:rsidRPr="00A0387F">
        <w:rPr>
          <w:i/>
          <w:iCs/>
        </w:rPr>
        <w:t xml:space="preserve">. </w:t>
      </w:r>
      <w:r w:rsidR="00D7449F" w:rsidRPr="00A0387F">
        <w:rPr>
          <w:i/>
          <w:iCs/>
        </w:rPr>
        <w:t>Astra Asset Management</w:t>
      </w:r>
      <w:r w:rsidR="00D7449F">
        <w:t xml:space="preserve"> [2026] EWHC 1599 (Ch)</w:t>
      </w:r>
      <w:r w:rsidR="009025B2">
        <w:t xml:space="preserve"> at [</w:t>
      </w:r>
      <w:r w:rsidR="00D7449F">
        <w:t>17</w:t>
      </w:r>
      <w:r w:rsidR="009025B2">
        <w:t>]</w:t>
      </w:r>
      <w:r w:rsidR="00D7449F">
        <w:t>-</w:t>
      </w:r>
      <w:r w:rsidR="009025B2">
        <w:t>[</w:t>
      </w:r>
      <w:r w:rsidR="00D7449F">
        <w:t>30</w:t>
      </w:r>
      <w:r w:rsidR="009025B2">
        <w:t>] and [40]-[46]</w:t>
      </w:r>
      <w:r w:rsidR="00D7449F">
        <w:t>.</w:t>
      </w:r>
    </w:p>
    <w:p w14:paraId="79F1A17D" w14:textId="1A3596B1" w:rsidR="005F1B50" w:rsidRDefault="000B4DB0" w:rsidP="00016F7F">
      <w:pPr>
        <w:pStyle w:val="ParaLevel1"/>
      </w:pPr>
      <w:r>
        <w:t xml:space="preserve">Despite these forceful submissions, I </w:t>
      </w:r>
      <w:r w:rsidR="0036286A">
        <w:t xml:space="preserve">do not accept that </w:t>
      </w:r>
      <w:r w:rsidR="0036286A">
        <w:rPr>
          <w:i/>
          <w:iCs/>
        </w:rPr>
        <w:t xml:space="preserve">Hirachand </w:t>
      </w:r>
      <w:r w:rsidR="0036286A">
        <w:t>has the effect of making it impossible for the court to make an order for pre-judgment interest on costs</w:t>
      </w:r>
      <w:r w:rsidR="0088247A">
        <w:t xml:space="preserve"> under CPR Part 44.2(6)(g) on the facts of this case. </w:t>
      </w:r>
      <w:r w:rsidR="00DA4114">
        <w:rPr>
          <w:i/>
          <w:iCs/>
        </w:rPr>
        <w:t xml:space="preserve">Hirachand </w:t>
      </w:r>
      <w:proofErr w:type="gramStart"/>
      <w:r w:rsidR="00DA4114" w:rsidRPr="00343974">
        <w:t>actually had</w:t>
      </w:r>
      <w:proofErr w:type="gramEnd"/>
      <w:r w:rsidR="00DA4114" w:rsidRPr="00343974">
        <w:t xml:space="preserve"> nothing to say about </w:t>
      </w:r>
      <w:r w:rsidR="005F1B50">
        <w:t xml:space="preserve">the scope of the power in </w:t>
      </w:r>
      <w:r w:rsidR="005F1B50" w:rsidRPr="002B2B35">
        <w:rPr>
          <w:rStyle w:val="VerbatimChar"/>
          <w:rFonts w:ascii="Times New Roman" w:hAnsi="Times New Roman" w:cs="Times New Roman"/>
          <w:sz w:val="24"/>
          <w:szCs w:val="24"/>
        </w:rPr>
        <w:t>CPR Part 44.2(6)(g)</w:t>
      </w:r>
      <w:r w:rsidR="005F1B50">
        <w:rPr>
          <w:rStyle w:val="VerbatimChar"/>
          <w:rFonts w:ascii="Times New Roman" w:hAnsi="Times New Roman" w:cs="Times New Roman"/>
          <w:sz w:val="24"/>
          <w:szCs w:val="24"/>
        </w:rPr>
        <w:t>, nor about its interaction with section</w:t>
      </w:r>
      <w:r w:rsidR="005F1B50">
        <w:t xml:space="preserve"> 58</w:t>
      </w:r>
      <w:proofErr w:type="gramStart"/>
      <w:r w:rsidR="005F1B50">
        <w:t>A(</w:t>
      </w:r>
      <w:proofErr w:type="gramEnd"/>
      <w:r w:rsidR="005F1B50">
        <w:t>6).</w:t>
      </w:r>
      <w:r w:rsidR="00343974">
        <w:t xml:space="preserve"> As I have already explained at [10] and [35]-[38] above, the power in </w:t>
      </w:r>
      <w:r w:rsidR="00343974" w:rsidRPr="000544BD">
        <w:rPr>
          <w:rStyle w:val="VerbatimChar"/>
          <w:rFonts w:ascii="Times New Roman" w:hAnsi="Times New Roman" w:cs="Times New Roman"/>
          <w:sz w:val="24"/>
          <w:szCs w:val="24"/>
        </w:rPr>
        <w:t xml:space="preserve">CPR Part 44.2(6)(g) provides a broad discretion to compensate </w:t>
      </w:r>
      <w:r w:rsidR="00FA41A6">
        <w:rPr>
          <w:rStyle w:val="VerbatimChar"/>
          <w:rFonts w:ascii="Times New Roman" w:hAnsi="Times New Roman" w:cs="Times New Roman"/>
          <w:sz w:val="24"/>
          <w:szCs w:val="24"/>
        </w:rPr>
        <w:t xml:space="preserve">a receiving party. </w:t>
      </w:r>
      <w:r w:rsidR="002D5B62">
        <w:rPr>
          <w:rStyle w:val="VerbatimChar"/>
          <w:rFonts w:ascii="Times New Roman" w:hAnsi="Times New Roman" w:cs="Times New Roman"/>
          <w:sz w:val="24"/>
          <w:szCs w:val="24"/>
        </w:rPr>
        <w:t xml:space="preserve">The </w:t>
      </w:r>
      <w:r w:rsidR="00343974" w:rsidRPr="000544BD">
        <w:rPr>
          <w:rStyle w:val="VerbatimChar"/>
          <w:rFonts w:ascii="Times New Roman" w:hAnsi="Times New Roman" w:cs="Times New Roman"/>
          <w:sz w:val="24"/>
          <w:szCs w:val="24"/>
        </w:rPr>
        <w:t xml:space="preserve">purpose </w:t>
      </w:r>
      <w:r w:rsidR="00343974">
        <w:rPr>
          <w:rStyle w:val="VerbatimChar"/>
          <w:rFonts w:ascii="Times New Roman" w:hAnsi="Times New Roman" w:cs="Times New Roman"/>
          <w:sz w:val="24"/>
          <w:szCs w:val="24"/>
        </w:rPr>
        <w:t xml:space="preserve">of </w:t>
      </w:r>
      <w:r w:rsidR="002D5B62">
        <w:rPr>
          <w:rStyle w:val="VerbatimChar"/>
          <w:rFonts w:ascii="Times New Roman" w:hAnsi="Times New Roman" w:cs="Times New Roman"/>
          <w:sz w:val="24"/>
          <w:szCs w:val="24"/>
        </w:rPr>
        <w:t xml:space="preserve">CPR Part </w:t>
      </w:r>
      <w:r w:rsidR="00155ECE">
        <w:rPr>
          <w:rStyle w:val="VerbatimChar"/>
          <w:rFonts w:ascii="Times New Roman" w:hAnsi="Times New Roman" w:cs="Times New Roman"/>
          <w:sz w:val="24"/>
          <w:szCs w:val="24"/>
        </w:rPr>
        <w:t xml:space="preserve">44.2(6)(g) is to </w:t>
      </w:r>
      <w:r w:rsidR="00343974" w:rsidRPr="000544BD">
        <w:rPr>
          <w:rStyle w:val="VerbatimChar"/>
          <w:rFonts w:ascii="Times New Roman" w:hAnsi="Times New Roman" w:cs="Times New Roman"/>
          <w:sz w:val="24"/>
          <w:szCs w:val="24"/>
        </w:rPr>
        <w:t>compensat</w:t>
      </w:r>
      <w:r w:rsidR="00155ECE">
        <w:rPr>
          <w:rStyle w:val="VerbatimChar"/>
          <w:rFonts w:ascii="Times New Roman" w:hAnsi="Times New Roman" w:cs="Times New Roman"/>
          <w:sz w:val="24"/>
          <w:szCs w:val="24"/>
        </w:rPr>
        <w:t>e</w:t>
      </w:r>
      <w:r w:rsidR="00343974" w:rsidRPr="000544BD">
        <w:rPr>
          <w:rStyle w:val="VerbatimChar"/>
          <w:rFonts w:ascii="Times New Roman" w:hAnsi="Times New Roman" w:cs="Times New Roman"/>
          <w:sz w:val="24"/>
          <w:szCs w:val="24"/>
        </w:rPr>
        <w:t xml:space="preserve"> the </w:t>
      </w:r>
      <w:r w:rsidR="00343974">
        <w:rPr>
          <w:rStyle w:val="VerbatimChar"/>
          <w:rFonts w:ascii="Times New Roman" w:hAnsi="Times New Roman" w:cs="Times New Roman"/>
          <w:sz w:val="24"/>
          <w:szCs w:val="24"/>
        </w:rPr>
        <w:t>receiving party</w:t>
      </w:r>
      <w:r w:rsidR="00343974" w:rsidRPr="000544BD">
        <w:rPr>
          <w:rStyle w:val="VerbatimChar"/>
          <w:rFonts w:ascii="Times New Roman" w:hAnsi="Times New Roman" w:cs="Times New Roman"/>
          <w:sz w:val="24"/>
          <w:szCs w:val="24"/>
        </w:rPr>
        <w:t xml:space="preserve"> </w:t>
      </w:r>
      <w:r w:rsidR="00343974">
        <w:t>either for having been kept out of its money or for itself being liable to compensate someone else for the fact that legal services have been provided on credit</w:t>
      </w:r>
      <w:r w:rsidR="00155ECE">
        <w:t xml:space="preserve">. </w:t>
      </w:r>
    </w:p>
    <w:p w14:paraId="5834BD3D" w14:textId="398BAA55" w:rsidR="008948CC" w:rsidRPr="001D6822" w:rsidRDefault="00E36953" w:rsidP="00016F7F">
      <w:pPr>
        <w:pStyle w:val="ParaLevel1"/>
        <w:rPr>
          <w:szCs w:val="24"/>
        </w:rPr>
      </w:pPr>
      <w:r>
        <w:t>The fact that success fees</w:t>
      </w:r>
      <w:r w:rsidR="00C03A12">
        <w:t xml:space="preserve"> and funding costs</w:t>
      </w:r>
      <w:r>
        <w:t xml:space="preserve"> cannot be recovered in themselves </w:t>
      </w:r>
      <w:r w:rsidR="00AE41EE">
        <w:t xml:space="preserve">as part of a costs order </w:t>
      </w:r>
      <w:r w:rsidR="00416C99">
        <w:t xml:space="preserve">at common law (see </w:t>
      </w:r>
      <w:r w:rsidR="00416C99" w:rsidRPr="00B80669">
        <w:rPr>
          <w:i/>
          <w:iCs/>
        </w:rPr>
        <w:t xml:space="preserve">Hunt </w:t>
      </w:r>
      <w:r w:rsidR="00416C99" w:rsidRPr="001D6822">
        <w:rPr>
          <w:i/>
          <w:iCs/>
        </w:rPr>
        <w:t>CA</w:t>
      </w:r>
      <w:r w:rsidR="00416C99">
        <w:t xml:space="preserve"> at </w:t>
      </w:r>
      <w:r w:rsidR="00C03A12">
        <w:t xml:space="preserve">[18] above) </w:t>
      </w:r>
      <w:r w:rsidR="008569FD">
        <w:t>and by reason of section 58</w:t>
      </w:r>
      <w:proofErr w:type="gramStart"/>
      <w:r w:rsidR="008569FD">
        <w:t>A(</w:t>
      </w:r>
      <w:proofErr w:type="gramEnd"/>
      <w:r w:rsidR="008569FD">
        <w:t>6)</w:t>
      </w:r>
      <w:r w:rsidR="001F799E">
        <w:t xml:space="preserve"> does </w:t>
      </w:r>
      <w:r w:rsidR="001F799E" w:rsidRPr="00B80669">
        <w:rPr>
          <w:b/>
          <w:bCs/>
        </w:rPr>
        <w:t>not</w:t>
      </w:r>
      <w:r w:rsidR="001F799E">
        <w:t xml:space="preserve"> mean that an order for pre-judgment interest on costs under CPR Part 44.2(6)(</w:t>
      </w:r>
      <w:r w:rsidR="00C52F82">
        <w:t>g) is prohibited just because a receiving party has agreed to pay a success fee.</w:t>
      </w:r>
      <w:r w:rsidR="001F799E">
        <w:t xml:space="preserve"> </w:t>
      </w:r>
      <w:r w:rsidR="00097480">
        <w:t xml:space="preserve">Such a rule would interfere with the broad CPR discretion created by </w:t>
      </w:r>
      <w:r w:rsidR="005F1B50">
        <w:t>CPR Part 44.2(6)(g)</w:t>
      </w:r>
      <w:r w:rsidR="00D37434">
        <w:t>.</w:t>
      </w:r>
      <w:r w:rsidR="000C555E">
        <w:t xml:space="preserve"> </w:t>
      </w:r>
      <w:r w:rsidR="007A485A">
        <w:t xml:space="preserve">It would be unjust to funded </w:t>
      </w:r>
      <w:r w:rsidR="003140D9">
        <w:t>parties</w:t>
      </w:r>
      <w:r w:rsidR="007A485A">
        <w:t xml:space="preserve"> in </w:t>
      </w:r>
      <w:proofErr w:type="gramStart"/>
      <w:r w:rsidR="007A485A">
        <w:t>a large number of</w:t>
      </w:r>
      <w:proofErr w:type="gramEnd"/>
      <w:r w:rsidR="007A485A">
        <w:t xml:space="preserve"> situations. </w:t>
      </w:r>
      <w:r w:rsidR="000C555E">
        <w:t>Th</w:t>
      </w:r>
      <w:r w:rsidR="003140D9">
        <w:t>e broad discretion in CPR Part 44.2(6)(g)</w:t>
      </w:r>
      <w:r w:rsidR="000C555E">
        <w:t xml:space="preserve"> will always, in some sense, compensate the cost of funding the litigation. The power under CPR Part 44.2(6)(g)</w:t>
      </w:r>
      <w:r w:rsidR="00594BDC">
        <w:t xml:space="preserve"> is, therefore, quite distinct from </w:t>
      </w:r>
      <w:r w:rsidR="00CA5A44">
        <w:t xml:space="preserve">either </w:t>
      </w:r>
      <w:r w:rsidR="007901E8">
        <w:t xml:space="preserve">the </w:t>
      </w:r>
      <w:r w:rsidR="006B5996">
        <w:t>costs order</w:t>
      </w:r>
      <w:r w:rsidR="00CA5A44">
        <w:t xml:space="preserve"> </w:t>
      </w:r>
      <w:r w:rsidR="007901E8" w:rsidRPr="00B80669">
        <w:rPr>
          <w:szCs w:val="24"/>
        </w:rPr>
        <w:t xml:space="preserve">itself </w:t>
      </w:r>
      <w:r w:rsidR="00CA5A44" w:rsidRPr="00B80669">
        <w:rPr>
          <w:szCs w:val="24"/>
        </w:rPr>
        <w:t xml:space="preserve">or a substantive order specifically </w:t>
      </w:r>
      <w:r w:rsidR="006B5996" w:rsidRPr="00B80669">
        <w:rPr>
          <w:szCs w:val="24"/>
        </w:rPr>
        <w:t>allowing recovery of a success fee.</w:t>
      </w:r>
      <w:r w:rsidR="002D614A" w:rsidRPr="00B80669">
        <w:rPr>
          <w:szCs w:val="24"/>
        </w:rPr>
        <w:t xml:space="preserve"> </w:t>
      </w:r>
      <w:r w:rsidR="002D614A" w:rsidRPr="00B80669">
        <w:rPr>
          <w:rStyle w:val="cf01"/>
          <w:rFonts w:ascii="Times New Roman" w:hAnsi="Times New Roman" w:cs="Times New Roman"/>
          <w:sz w:val="24"/>
          <w:szCs w:val="24"/>
        </w:rPr>
        <w:t>T</w:t>
      </w:r>
      <w:r w:rsidR="008948CC" w:rsidRPr="001D6822">
        <w:rPr>
          <w:rStyle w:val="cf01"/>
          <w:rFonts w:ascii="Times New Roman" w:hAnsi="Times New Roman" w:cs="Times New Roman"/>
          <w:sz w:val="24"/>
          <w:szCs w:val="24"/>
        </w:rPr>
        <w:t xml:space="preserve">he award of pre-judgment interest in circumstances where a claimant may ultimately pay a success fee is not the same as the award of the success </w:t>
      </w:r>
      <w:r w:rsidR="008948CC" w:rsidRPr="001D6822">
        <w:rPr>
          <w:rStyle w:val="cf01"/>
          <w:rFonts w:ascii="Times New Roman" w:hAnsi="Times New Roman" w:cs="Times New Roman"/>
          <w:sz w:val="24"/>
          <w:szCs w:val="24"/>
        </w:rPr>
        <w:lastRenderedPageBreak/>
        <w:t xml:space="preserve">fee itself </w:t>
      </w:r>
      <w:r w:rsidR="00486368" w:rsidRPr="00B80669">
        <w:rPr>
          <w:rStyle w:val="cf01"/>
          <w:rFonts w:ascii="Times New Roman" w:hAnsi="Times New Roman" w:cs="Times New Roman"/>
          <w:sz w:val="24"/>
          <w:szCs w:val="24"/>
        </w:rPr>
        <w:t xml:space="preserve">either by way of a </w:t>
      </w:r>
      <w:r w:rsidR="008948CC" w:rsidRPr="001D6822">
        <w:rPr>
          <w:rStyle w:val="cf01"/>
          <w:rFonts w:ascii="Times New Roman" w:hAnsi="Times New Roman" w:cs="Times New Roman"/>
          <w:sz w:val="24"/>
          <w:szCs w:val="24"/>
        </w:rPr>
        <w:t xml:space="preserve">costs order or </w:t>
      </w:r>
      <w:r w:rsidR="00486368" w:rsidRPr="00B80669">
        <w:rPr>
          <w:rStyle w:val="cf01"/>
          <w:rFonts w:ascii="Times New Roman" w:hAnsi="Times New Roman" w:cs="Times New Roman"/>
          <w:sz w:val="24"/>
          <w:szCs w:val="24"/>
        </w:rPr>
        <w:t xml:space="preserve">an order for </w:t>
      </w:r>
      <w:r w:rsidR="008948CC" w:rsidRPr="001D6822">
        <w:rPr>
          <w:rStyle w:val="cf01"/>
          <w:rFonts w:ascii="Times New Roman" w:hAnsi="Times New Roman" w:cs="Times New Roman"/>
          <w:sz w:val="24"/>
          <w:szCs w:val="24"/>
        </w:rPr>
        <w:t>substantive relief.</w:t>
      </w:r>
      <w:r w:rsidR="00B80669" w:rsidRPr="00B80669">
        <w:rPr>
          <w:rStyle w:val="cf01"/>
          <w:rFonts w:ascii="Times New Roman" w:hAnsi="Times New Roman" w:cs="Times New Roman"/>
          <w:sz w:val="24"/>
          <w:szCs w:val="24"/>
        </w:rPr>
        <w:t xml:space="preserve"> </w:t>
      </w:r>
      <w:r w:rsidR="00B80669">
        <w:rPr>
          <w:rStyle w:val="cf01"/>
          <w:rFonts w:ascii="Times New Roman" w:hAnsi="Times New Roman" w:cs="Times New Roman"/>
          <w:sz w:val="24"/>
          <w:szCs w:val="24"/>
        </w:rPr>
        <w:t>T</w:t>
      </w:r>
      <w:r w:rsidR="008948CC" w:rsidRPr="001D6822">
        <w:rPr>
          <w:rStyle w:val="cf01"/>
          <w:rFonts w:ascii="Times New Roman" w:hAnsi="Times New Roman" w:cs="Times New Roman"/>
          <w:sz w:val="24"/>
          <w:szCs w:val="24"/>
        </w:rPr>
        <w:t>he award of pre-judgment interest is compensatory</w:t>
      </w:r>
      <w:r w:rsidR="00B80669">
        <w:rPr>
          <w:rStyle w:val="cf01"/>
          <w:rFonts w:ascii="Times New Roman" w:hAnsi="Times New Roman" w:cs="Times New Roman"/>
          <w:sz w:val="24"/>
          <w:szCs w:val="24"/>
        </w:rPr>
        <w:t xml:space="preserve">, but </w:t>
      </w:r>
      <w:r w:rsidR="008948CC" w:rsidRPr="001D6822">
        <w:rPr>
          <w:rStyle w:val="cf01"/>
          <w:rFonts w:ascii="Times New Roman" w:hAnsi="Times New Roman" w:cs="Times New Roman"/>
          <w:sz w:val="24"/>
          <w:szCs w:val="24"/>
        </w:rPr>
        <w:t xml:space="preserve">it does not amount to the award of the success fee itself, nor is it awarded for the purpose of </w:t>
      </w:r>
      <w:r w:rsidR="008F72D7">
        <w:rPr>
          <w:rStyle w:val="cf01"/>
          <w:rFonts w:ascii="Times New Roman" w:hAnsi="Times New Roman" w:cs="Times New Roman"/>
          <w:sz w:val="24"/>
          <w:szCs w:val="24"/>
        </w:rPr>
        <w:t>paying</w:t>
      </w:r>
      <w:r w:rsidR="008948CC" w:rsidRPr="001D6822">
        <w:rPr>
          <w:rStyle w:val="cf01"/>
          <w:rFonts w:ascii="Times New Roman" w:hAnsi="Times New Roman" w:cs="Times New Roman"/>
          <w:sz w:val="24"/>
          <w:szCs w:val="24"/>
        </w:rPr>
        <w:t xml:space="preserve"> that fee.</w:t>
      </w:r>
    </w:p>
    <w:p w14:paraId="6461BBD6" w14:textId="1875C07D" w:rsidR="00AE3CB2" w:rsidRDefault="00AE3CB2" w:rsidP="00016F7F">
      <w:pPr>
        <w:pStyle w:val="ParaLevel1"/>
      </w:pPr>
      <w:r>
        <w:t xml:space="preserve">There are two separate indications that </w:t>
      </w:r>
      <w:r w:rsidR="005115DD">
        <w:t xml:space="preserve">support the proposition that </w:t>
      </w:r>
      <w:r w:rsidR="00D668FA">
        <w:t xml:space="preserve">the CPR Part 44.2(6)(g) power is separate and distinct from either the costs order itself or </w:t>
      </w:r>
      <w:r w:rsidR="00A16711">
        <w:t xml:space="preserve">from </w:t>
      </w:r>
      <w:r w:rsidR="00D668FA">
        <w:t>a substantive order specifically allowing recovery of a succe</w:t>
      </w:r>
      <w:r w:rsidR="00A16711">
        <w:t>ss fee</w:t>
      </w:r>
      <w:r>
        <w:t>.</w:t>
      </w:r>
    </w:p>
    <w:p w14:paraId="4F0E1A8E" w14:textId="7DEF01DF" w:rsidR="00D367FC" w:rsidRDefault="00AE3CB2" w:rsidP="00016F7F">
      <w:pPr>
        <w:pStyle w:val="ParaLevel1"/>
      </w:pPr>
      <w:r>
        <w:t xml:space="preserve">First, in </w:t>
      </w:r>
      <w:r w:rsidR="00CE669C">
        <w:rPr>
          <w:i/>
          <w:iCs/>
        </w:rPr>
        <w:t xml:space="preserve">Nosworthy v. </w:t>
      </w:r>
      <w:r w:rsidR="00CE669C" w:rsidRPr="00AA48DC">
        <w:rPr>
          <w:i/>
          <w:iCs/>
        </w:rPr>
        <w:t>R</w:t>
      </w:r>
      <w:r w:rsidR="00CE669C">
        <w:rPr>
          <w:i/>
          <w:iCs/>
        </w:rPr>
        <w:t>oyal Bournemouth &amp; Christchurch NHS Foundation Trust</w:t>
      </w:r>
      <w:r w:rsidR="00CE669C">
        <w:t xml:space="preserve"> [2020] EWHC B19 (costs)</w:t>
      </w:r>
      <w:r w:rsidR="00AD6200">
        <w:t xml:space="preserve"> (</w:t>
      </w:r>
      <w:r w:rsidR="00AD6200">
        <w:rPr>
          <w:i/>
          <w:iCs/>
        </w:rPr>
        <w:t>Nosworthy</w:t>
      </w:r>
      <w:r w:rsidR="00AD6200" w:rsidRPr="00AD6200">
        <w:t>)</w:t>
      </w:r>
      <w:r>
        <w:t xml:space="preserve">, Master Brown </w:t>
      </w:r>
      <w:r w:rsidR="00D367FC">
        <w:t>said this at [25]-[26] (with which I agree):</w:t>
      </w:r>
    </w:p>
    <w:p w14:paraId="0516B9C3" w14:textId="790F1BE3" w:rsidR="00D367FC" w:rsidRDefault="00AF7888" w:rsidP="00016F7F">
      <w:pPr>
        <w:pStyle w:val="ParaLevel1"/>
        <w:numPr>
          <w:ilvl w:val="0"/>
          <w:numId w:val="0"/>
        </w:numPr>
        <w:ind w:left="1134"/>
      </w:pPr>
      <w:r>
        <w:t xml:space="preserve">25. </w:t>
      </w:r>
      <w:r w:rsidR="00D367FC">
        <w:t xml:space="preserve">It is clear that in general the costs of funding are not recoverable as an item of costs in a Bill of Costs: see </w:t>
      </w:r>
      <w:r w:rsidR="00D53979">
        <w:t>[</w:t>
      </w:r>
      <w:r w:rsidR="00D367FC" w:rsidRPr="00D53979">
        <w:rPr>
          <w:i/>
          <w:iCs/>
        </w:rPr>
        <w:t>Hunt</w:t>
      </w:r>
      <w:r w:rsidR="00D53979" w:rsidRPr="00D53979">
        <w:rPr>
          <w:i/>
          <w:iCs/>
        </w:rPr>
        <w:t xml:space="preserve"> CA</w:t>
      </w:r>
      <w:r w:rsidR="00D53979">
        <w:t>]</w:t>
      </w:r>
      <w:r w:rsidR="00D367FC">
        <w:t xml:space="preserve"> in which Purchas LJ held “there is no duty imposed upon the court to award party and party costs on an indemnity basis and by established practice and custom funding costs have never been included in the category of expenses, costs or disbursements envisaged by the statute and RSC O.62”. As Mr. McDonald put it, the cost of funding litigation is not recoverable in and of itself (referring to the decision in </w:t>
      </w:r>
      <w:r w:rsidR="00C611C8">
        <w:t>[</w:t>
      </w:r>
      <w:r w:rsidR="00D367FC" w:rsidRPr="00C611C8">
        <w:rPr>
          <w:i/>
          <w:iCs/>
        </w:rPr>
        <w:t>Hunt</w:t>
      </w:r>
      <w:r w:rsidR="00C611C8" w:rsidRPr="00C611C8">
        <w:rPr>
          <w:i/>
          <w:iCs/>
        </w:rPr>
        <w:t xml:space="preserve"> CA</w:t>
      </w:r>
      <w:r w:rsidR="00C611C8">
        <w:t>]</w:t>
      </w:r>
      <w:r w:rsidR="00D367FC">
        <w:t xml:space="preserve"> cited above for the pre-CPR position and </w:t>
      </w:r>
      <w:r w:rsidR="00D367FC" w:rsidRPr="00C611C8">
        <w:rPr>
          <w:i/>
          <w:iCs/>
        </w:rPr>
        <w:t xml:space="preserve">F&amp;C </w:t>
      </w:r>
      <w:r w:rsidR="00613AA7">
        <w:rPr>
          <w:i/>
          <w:iCs/>
        </w:rPr>
        <w:t>Alternative</w:t>
      </w:r>
      <w:r w:rsidR="00D367FC">
        <w:t xml:space="preserve"> for the post CPR position). </w:t>
      </w:r>
      <w:proofErr w:type="gramStart"/>
      <w:r w:rsidR="00D367FC">
        <w:t>However</w:t>
      </w:r>
      <w:proofErr w:type="gramEnd"/>
      <w:r w:rsidR="00D367FC">
        <w:t xml:space="preserve"> it seems to me that without intending to provide any indemnity against the costs of funding, the application of a normal rule that judgment rate interest (described by Steele J as “generous if not penal”) be paid from the date of the costs order (‘the </w:t>
      </w:r>
      <w:r w:rsidR="00D367FC" w:rsidRPr="00AF6E17">
        <w:rPr>
          <w:i/>
          <w:iCs/>
        </w:rPr>
        <w:t>incipitur</w:t>
      </w:r>
      <w:r w:rsidR="00D367FC">
        <w:t xml:space="preserve"> rule’) at least substantially mitigates the position. As I read </w:t>
      </w:r>
      <w:r w:rsidR="00D61904">
        <w:t>[</w:t>
      </w:r>
      <w:r w:rsidR="00D367FC" w:rsidRPr="00D61904">
        <w:rPr>
          <w:i/>
          <w:iCs/>
        </w:rPr>
        <w:t>Hunt</w:t>
      </w:r>
      <w:r w:rsidR="00D61904" w:rsidRPr="00D61904">
        <w:rPr>
          <w:i/>
          <w:iCs/>
        </w:rPr>
        <w:t xml:space="preserve"> HL</w:t>
      </w:r>
      <w:r w:rsidR="00D61904">
        <w:t>]</w:t>
      </w:r>
      <w:r w:rsidR="00D367FC">
        <w:t xml:space="preserve"> (see generally [p</w:t>
      </w:r>
      <w:r w:rsidR="002E66E5">
        <w:t xml:space="preserve">ages </w:t>
      </w:r>
      <w:r w:rsidR="00D367FC">
        <w:t xml:space="preserve">415F to 416B] and </w:t>
      </w:r>
      <w:r w:rsidR="00D367FC" w:rsidRPr="00D61904">
        <w:rPr>
          <w:i/>
          <w:iCs/>
        </w:rPr>
        <w:t>Simcoe v</w:t>
      </w:r>
      <w:r w:rsidR="00D61904" w:rsidRPr="00D61904">
        <w:rPr>
          <w:i/>
          <w:iCs/>
        </w:rPr>
        <w:t>.</w:t>
      </w:r>
      <w:r w:rsidR="00D367FC" w:rsidRPr="00D61904">
        <w:rPr>
          <w:i/>
          <w:iCs/>
        </w:rPr>
        <w:t xml:space="preserve"> Jacuzzi UK Group plc</w:t>
      </w:r>
      <w:r w:rsidR="00D367FC">
        <w:t xml:space="preserve"> [2012] WLR (D) 35 (see generally [39] to [48]) at least in part the justification for such a normal rule is that it would better enable the costs of funding to be met than if judgment rate interest applied only from the date of ascertainment or agreement of the costs (the ‘</w:t>
      </w:r>
      <w:r w:rsidR="00D367FC" w:rsidRPr="00AF6E17">
        <w:rPr>
          <w:i/>
          <w:iCs/>
        </w:rPr>
        <w:t>allocatur</w:t>
      </w:r>
      <w:r w:rsidR="00D367FC">
        <w:t xml:space="preserve">’ date). In </w:t>
      </w:r>
      <w:r w:rsidR="00D367FC" w:rsidRPr="00A14464">
        <w:rPr>
          <w:i/>
          <w:iCs/>
        </w:rPr>
        <w:t>Simcoe</w:t>
      </w:r>
      <w:r w:rsidR="00D367FC">
        <w:t xml:space="preserve"> Neuberger MR concluded that the balance of justice still favoured the </w:t>
      </w:r>
      <w:r w:rsidR="00D367FC" w:rsidRPr="00A14464">
        <w:rPr>
          <w:i/>
          <w:iCs/>
        </w:rPr>
        <w:t>incipitur</w:t>
      </w:r>
      <w:r w:rsidR="00D367FC">
        <w:t xml:space="preserve"> rule notwithstanding the increasing use of CFAs (such that no liability to pay for the solicitor’s own fees generally arises prior to the making of the costs order, in contrast to the position when </w:t>
      </w:r>
      <w:r w:rsidR="00D367FC" w:rsidRPr="002E66E5">
        <w:rPr>
          <w:i/>
          <w:iCs/>
        </w:rPr>
        <w:t>Hunt</w:t>
      </w:r>
      <w:r w:rsidR="00D367FC">
        <w:t xml:space="preserve"> was decided: see [42] of </w:t>
      </w:r>
      <w:r w:rsidR="00D367FC" w:rsidRPr="00CD03E6">
        <w:rPr>
          <w:i/>
          <w:iCs/>
        </w:rPr>
        <w:t>Simcoe</w:t>
      </w:r>
      <w:r w:rsidR="00D367FC">
        <w:t xml:space="preserve"> and reason (ii) of Lord Ackner’s decision). I note </w:t>
      </w:r>
      <w:proofErr w:type="gramStart"/>
      <w:r w:rsidR="00D367FC">
        <w:t>in particular that</w:t>
      </w:r>
      <w:proofErr w:type="gramEnd"/>
      <w:r w:rsidR="00D367FC">
        <w:t xml:space="preserve"> at [46] of </w:t>
      </w:r>
      <w:r w:rsidR="00D367FC" w:rsidRPr="00AF6E17">
        <w:rPr>
          <w:i/>
          <w:iCs/>
        </w:rPr>
        <w:t>Simcoe</w:t>
      </w:r>
      <w:r w:rsidR="00D367FC">
        <w:t xml:space="preserve"> Neuberger MR commented: </w:t>
      </w:r>
    </w:p>
    <w:p w14:paraId="3B18E3EB" w14:textId="1625D832" w:rsidR="00D367FC" w:rsidRDefault="00D367FC" w:rsidP="00016F7F">
      <w:pPr>
        <w:pStyle w:val="ParaLevel1"/>
        <w:numPr>
          <w:ilvl w:val="0"/>
          <w:numId w:val="0"/>
        </w:numPr>
        <w:ind w:left="1701"/>
      </w:pPr>
      <w:r>
        <w:t>“It is right to mention Lord Ackner’s reason (v) as it deals with a case, postulated by the defendant, namely where the solicitors do not pay out a disbursement (e.g. the fees of counsel and an expert witness) until after they receive the costs from the defendant. In such a case, it seems to me, there can be ‘an express agreement between the</w:t>
      </w:r>
      <w:r w:rsidR="00005489">
        <w:t xml:space="preserve"> </w:t>
      </w:r>
      <w:r>
        <w:t xml:space="preserve">solicitor[s] and [the barrister and witness] that any interest … on disbursements [shall] be held by [the solicitors] for … the … persons to whom they are ultimately paid.’” </w:t>
      </w:r>
    </w:p>
    <w:p w14:paraId="46282BFB" w14:textId="3970F80F" w:rsidR="00005489" w:rsidRDefault="00D367FC" w:rsidP="00016F7F">
      <w:pPr>
        <w:pStyle w:val="ParaLevel1"/>
        <w:numPr>
          <w:ilvl w:val="0"/>
          <w:numId w:val="0"/>
        </w:numPr>
        <w:ind w:left="720" w:firstLine="414"/>
      </w:pPr>
      <w:r>
        <w:t>26. He</w:t>
      </w:r>
      <w:r w:rsidR="00AF6E17">
        <w:t xml:space="preserve"> [Lord Neuberger]</w:t>
      </w:r>
      <w:r>
        <w:t xml:space="preserve"> went on to say: </w:t>
      </w:r>
    </w:p>
    <w:p w14:paraId="09F59BCE" w14:textId="1C0BBEEB" w:rsidR="00D367FC" w:rsidRDefault="00D367FC" w:rsidP="00016F7F">
      <w:pPr>
        <w:pStyle w:val="ParaLevel1"/>
        <w:numPr>
          <w:ilvl w:val="0"/>
          <w:numId w:val="0"/>
        </w:numPr>
        <w:ind w:left="1701"/>
      </w:pPr>
      <w:r>
        <w:t xml:space="preserve">48. First, I would discourage too detailed an approach into the facts of the </w:t>
      </w:r>
      <w:proofErr w:type="gramStart"/>
      <w:r>
        <w:t>particular case</w:t>
      </w:r>
      <w:proofErr w:type="gramEnd"/>
      <w:r>
        <w:t xml:space="preserve"> in hand for the purpose of determining the date from which interest should run. As Lord Ackner’s speech in </w:t>
      </w:r>
      <w:r w:rsidR="006A64A4">
        <w:t>[</w:t>
      </w:r>
      <w:r w:rsidRPr="006A64A4">
        <w:rPr>
          <w:i/>
          <w:iCs/>
        </w:rPr>
        <w:t>Hunt</w:t>
      </w:r>
      <w:r w:rsidR="006A64A4" w:rsidRPr="006A64A4">
        <w:rPr>
          <w:i/>
          <w:iCs/>
        </w:rPr>
        <w:t xml:space="preserve"> HL</w:t>
      </w:r>
      <w:r w:rsidR="006A64A4">
        <w:t>]</w:t>
      </w:r>
      <w:r>
        <w:t xml:space="preserve"> implies, when making such a determination, the court should take a broad view of the position. Prolonged argument let alone detailed evidence, on the issue must be avoided. There will often be no perfect date, and the decision inevitably </w:t>
      </w:r>
      <w:r>
        <w:lastRenderedPageBreak/>
        <w:t xml:space="preserve">will, indeed should, be broad brush. Further, if interest was to run from different dates on different components of the costs, it would, in many cases, lead to arguments which would do the legal system no credit. The second observation is that I would not necessarily agree with the suggestion, at [2009] 4 Costs LR 591, para 30, that it may be inappropriate to award interest on costs where the case is being funded by a third party entirely voluntarily or otherwise free of any cost. I would have thought that, following the logic of reason (v) in para 11 above (and see para 46 above), if interest on costs is payable from the </w:t>
      </w:r>
      <w:r w:rsidRPr="001E1F9D">
        <w:rPr>
          <w:i/>
          <w:iCs/>
        </w:rPr>
        <w:t>incipitur</w:t>
      </w:r>
      <w:r>
        <w:t xml:space="preserve"> date, the party to whom it is paid may have to account for it to the third party, and, if that is correct, there would seem to me to be a powerful argument for saying that the third party should get interest on costs in the normal way. </w:t>
      </w:r>
    </w:p>
    <w:p w14:paraId="2E66E68F" w14:textId="32956D93" w:rsidR="00D367FC" w:rsidRDefault="00AF6E17" w:rsidP="00016F7F">
      <w:pPr>
        <w:pStyle w:val="ParaLevel1"/>
      </w:pPr>
      <w:r>
        <w:t xml:space="preserve">Whilst in </w:t>
      </w:r>
      <w:r w:rsidR="0044009F">
        <w:t>n</w:t>
      </w:r>
      <w:r>
        <w:t xml:space="preserve">o sense binding on us, the logic explained by Master Brown by reference to Lord Neuberger’s comments in </w:t>
      </w:r>
      <w:r w:rsidRPr="00D61904">
        <w:rPr>
          <w:i/>
          <w:iCs/>
        </w:rPr>
        <w:t>Simcoe v. Jacuzzi UK Group plc</w:t>
      </w:r>
      <w:r>
        <w:t xml:space="preserve"> </w:t>
      </w:r>
      <w:r w:rsidR="003231CE" w:rsidRPr="003231CE">
        <w:t>[2012] EWCA Civ 137</w:t>
      </w:r>
      <w:r w:rsidR="003231CE">
        <w:t>,</w:t>
      </w:r>
      <w:r w:rsidR="003231CE" w:rsidRPr="003231CE">
        <w:t xml:space="preserve"> </w:t>
      </w:r>
      <w:r>
        <w:t xml:space="preserve">[2012] </w:t>
      </w:r>
      <w:r w:rsidR="00926601">
        <w:t xml:space="preserve">1 </w:t>
      </w:r>
      <w:r>
        <w:t xml:space="preserve">WLR </w:t>
      </w:r>
      <w:r w:rsidR="00926601">
        <w:t>2393</w:t>
      </w:r>
      <w:r w:rsidR="0057211B">
        <w:t>, very much support</w:t>
      </w:r>
      <w:r w:rsidR="00AF7888">
        <w:t>s</w:t>
      </w:r>
      <w:r w:rsidR="0057211B">
        <w:t xml:space="preserve"> the distinctions that I have sought to draw.</w:t>
      </w:r>
    </w:p>
    <w:p w14:paraId="3272AB09" w14:textId="468D2483" w:rsidR="00D367FC" w:rsidRDefault="00240360" w:rsidP="00016F7F">
      <w:pPr>
        <w:pStyle w:val="ParaLevel1"/>
      </w:pPr>
      <w:r>
        <w:t xml:space="preserve">Secondly, the vice that Lord Justice Jackson saw in </w:t>
      </w:r>
      <w:r w:rsidR="00EF32E6">
        <w:t xml:space="preserve">having made </w:t>
      </w:r>
      <w:r>
        <w:t>success fees</w:t>
      </w:r>
      <w:r w:rsidR="00EF32E6">
        <w:t xml:space="preserve"> recoverable was that </w:t>
      </w:r>
      <w:r w:rsidR="001B547F">
        <w:t xml:space="preserve">their recoverability </w:t>
      </w:r>
      <w:r w:rsidR="0079392E">
        <w:t xml:space="preserve">increased and </w:t>
      </w:r>
      <w:r w:rsidR="001B547F">
        <w:t>had increased the costs of litigation</w:t>
      </w:r>
      <w:r w:rsidR="00020190">
        <w:t xml:space="preserve"> (see [23] above)</w:t>
      </w:r>
      <w:r w:rsidR="001B547F">
        <w:t>.</w:t>
      </w:r>
      <w:r w:rsidR="0079392E">
        <w:t xml:space="preserve"> Claimants</w:t>
      </w:r>
      <w:r w:rsidR="00F760DA">
        <w:t>,</w:t>
      </w:r>
      <w:r w:rsidR="0079392E">
        <w:t xml:space="preserve"> </w:t>
      </w:r>
      <w:r w:rsidR="00F760DA">
        <w:t xml:space="preserve">particularly </w:t>
      </w:r>
      <w:r w:rsidR="0079392E">
        <w:t>in personal injury cases</w:t>
      </w:r>
      <w:r w:rsidR="00F760DA">
        <w:t xml:space="preserve">, </w:t>
      </w:r>
      <w:r w:rsidR="0079392E">
        <w:t>had no incentive to negotiate smaller success fees if they were always recoverable fr</w:t>
      </w:r>
      <w:r w:rsidR="00E427E1">
        <w:t>om</w:t>
      </w:r>
      <w:r w:rsidR="0079392E">
        <w:t xml:space="preserve"> the defendants.</w:t>
      </w:r>
      <w:r w:rsidR="00CD6CE7">
        <w:t xml:space="preserve"> That perverse incentive is inapplicable in a case like this. Here, </w:t>
      </w:r>
      <w:r w:rsidR="000D09B0">
        <w:t xml:space="preserve">the claimants’ funding arrangements </w:t>
      </w:r>
      <w:r w:rsidR="000C07A6">
        <w:t xml:space="preserve">were bespoke. It is not disputed that, upon succeeding in their claims, the claimants will be liable both for their solicitors’ base costs and for success fees. </w:t>
      </w:r>
      <w:r w:rsidR="00A578E1">
        <w:t>The availability or otherwise of</w:t>
      </w:r>
      <w:r w:rsidR="0093686D">
        <w:t xml:space="preserve"> an order for</w:t>
      </w:r>
      <w:r w:rsidR="00A578E1">
        <w:t xml:space="preserve"> pre-judgment interest on costs </w:t>
      </w:r>
      <w:r w:rsidR="0093686D">
        <w:t>will have had no influence on the amount of that success fee.</w:t>
      </w:r>
    </w:p>
    <w:p w14:paraId="00812B15" w14:textId="21DDA5DD" w:rsidR="00270C4F" w:rsidRDefault="00270C4F" w:rsidP="00016F7F">
      <w:pPr>
        <w:pStyle w:val="ParaLevel1"/>
      </w:pPr>
      <w:r>
        <w:t>To put this second point another way, the fact that the claimant</w:t>
      </w:r>
      <w:r w:rsidR="00B7255D">
        <w:t>s</w:t>
      </w:r>
      <w:r>
        <w:t xml:space="preserve"> ha</w:t>
      </w:r>
      <w:r w:rsidR="00B7255D">
        <w:t>ve</w:t>
      </w:r>
      <w:r>
        <w:t xml:space="preserve"> incurred</w:t>
      </w:r>
      <w:r w:rsidR="00B7255D">
        <w:t>, through the success fees,</w:t>
      </w:r>
      <w:r>
        <w:t xml:space="preserve"> </w:t>
      </w:r>
      <w:r w:rsidR="00B7255D">
        <w:t xml:space="preserve">a </w:t>
      </w:r>
      <w:r w:rsidR="00160479">
        <w:t xml:space="preserve">contingent </w:t>
      </w:r>
      <w:r>
        <w:t xml:space="preserve">liability to compensate </w:t>
      </w:r>
      <w:r w:rsidR="00B7255D">
        <w:t>their</w:t>
      </w:r>
      <w:r>
        <w:t xml:space="preserve"> solicitors for their </w:t>
      </w:r>
      <w:r w:rsidR="00B7255D">
        <w:t>funding</w:t>
      </w:r>
      <w:r w:rsidR="00CC358C">
        <w:t xml:space="preserve"> </w:t>
      </w:r>
      <w:r>
        <w:t>costs is merely a trigger to enable interest to be claimed</w:t>
      </w:r>
      <w:r w:rsidR="00CC358C">
        <w:t>. I</w:t>
      </w:r>
      <w:r>
        <w:t>t does</w:t>
      </w:r>
      <w:r w:rsidR="007C3AAE">
        <w:t xml:space="preserve"> not</w:t>
      </w:r>
      <w:r>
        <w:t xml:space="preserve"> in any way influence the </w:t>
      </w:r>
      <w:r w:rsidRPr="00CC358C">
        <w:rPr>
          <w:b/>
          <w:bCs/>
        </w:rPr>
        <w:t>amount</w:t>
      </w:r>
      <w:r>
        <w:t xml:space="preserve"> of interest to be paid. </w:t>
      </w:r>
      <w:r w:rsidR="0047070F">
        <w:t xml:space="preserve">The amount awarded is </w:t>
      </w:r>
      <w:r>
        <w:t xml:space="preserve">based on what </w:t>
      </w:r>
      <w:r w:rsidR="0047070F">
        <w:t xml:space="preserve">funding the costs </w:t>
      </w:r>
      <w:r>
        <w:t xml:space="preserve">would reasonably </w:t>
      </w:r>
      <w:r w:rsidR="0047070F">
        <w:t xml:space="preserve">have </w:t>
      </w:r>
      <w:r>
        <w:t>cost the class of persons of which the claimant</w:t>
      </w:r>
      <w:r w:rsidR="0047070F">
        <w:t>s</w:t>
      </w:r>
      <w:r>
        <w:t xml:space="preserve"> form part</w:t>
      </w:r>
      <w:r w:rsidR="00375AA9">
        <w:t>, as opposed to the value of the success fee itself</w:t>
      </w:r>
      <w:r>
        <w:t>. The claimant</w:t>
      </w:r>
      <w:r w:rsidR="0047070F">
        <w:t>s</w:t>
      </w:r>
      <w:r>
        <w:t xml:space="preserve"> remain incentivised to limit the amount of success fee</w:t>
      </w:r>
      <w:r w:rsidR="0047070F">
        <w:t>s</w:t>
      </w:r>
      <w:r>
        <w:t xml:space="preserve">, notwithstanding </w:t>
      </w:r>
      <w:r w:rsidR="0047070F">
        <w:t>their</w:t>
      </w:r>
      <w:r>
        <w:t xml:space="preserve"> ability to recover pre-judgment interest on </w:t>
      </w:r>
      <w:r w:rsidR="0047070F">
        <w:t>their</w:t>
      </w:r>
      <w:r>
        <w:t xml:space="preserve"> costs.</w:t>
      </w:r>
    </w:p>
    <w:p w14:paraId="58C30017" w14:textId="751936B2" w:rsidR="00EB4EA3" w:rsidRDefault="004F5076" w:rsidP="00016F7F">
      <w:pPr>
        <w:pStyle w:val="ParaLevel1"/>
      </w:pPr>
      <w:r>
        <w:t>I should mention, finally, B</w:t>
      </w:r>
      <w:r w:rsidR="008D0DEE">
        <w:t>H</w:t>
      </w:r>
      <w:r>
        <w:t>P’s point that</w:t>
      </w:r>
      <w:r w:rsidR="00EA044F">
        <w:t xml:space="preserve">, even when success fees were </w:t>
      </w:r>
      <w:r w:rsidR="00DA2D3E">
        <w:t>recoverable</w:t>
      </w:r>
      <w:r w:rsidR="00E6714D">
        <w:t xml:space="preserve">, </w:t>
      </w:r>
      <w:r w:rsidR="00DA2D3E">
        <w:t>funding costs were not recoverable as part of th</w:t>
      </w:r>
      <w:r w:rsidR="00A7639A">
        <w:t>ose</w:t>
      </w:r>
      <w:r w:rsidR="00DA2D3E">
        <w:t xml:space="preserve"> success fee</w:t>
      </w:r>
      <w:r w:rsidR="00A7639A">
        <w:t>s</w:t>
      </w:r>
      <w:r w:rsidR="00DA2D3E">
        <w:t xml:space="preserve">. CPR </w:t>
      </w:r>
      <w:r w:rsidR="00E6714D">
        <w:t>Part</w:t>
      </w:r>
      <w:r w:rsidR="00DA2D3E">
        <w:t xml:space="preserve"> 44.3B(1)</w:t>
      </w:r>
      <w:r w:rsidR="00E6714D">
        <w:t xml:space="preserve"> had </w:t>
      </w:r>
      <w:r w:rsidR="00DA2D3E">
        <w:t>provided that “</w:t>
      </w:r>
      <w:r w:rsidR="00E6714D">
        <w:t>[u]</w:t>
      </w:r>
      <w:r w:rsidR="00DA2D3E">
        <w:t>nless the court orders otherwise, a party may not recover as an additional liability – (a) any</w:t>
      </w:r>
      <w:r w:rsidR="00EB4EA3">
        <w:t xml:space="preserve"> </w:t>
      </w:r>
      <w:r w:rsidR="00DA2D3E">
        <w:t>proportion of the percentage increase relating to the cost to the legal representative of the postponement of the</w:t>
      </w:r>
      <w:r w:rsidR="00EB4EA3">
        <w:t xml:space="preserve"> </w:t>
      </w:r>
      <w:r w:rsidR="00DA2D3E">
        <w:t>payment of his fees and expenses”</w:t>
      </w:r>
      <w:r w:rsidR="00AD6200">
        <w:t xml:space="preserve"> (see</w:t>
      </w:r>
      <w:r w:rsidR="00032E40">
        <w:t xml:space="preserve"> also</w:t>
      </w:r>
      <w:r w:rsidR="00AD6200">
        <w:t xml:space="preserve"> </w:t>
      </w:r>
      <w:r w:rsidR="00AD6200">
        <w:rPr>
          <w:i/>
          <w:iCs/>
        </w:rPr>
        <w:t xml:space="preserve">Nosworthy </w:t>
      </w:r>
      <w:r w:rsidR="00AD6200" w:rsidRPr="00AD6200">
        <w:t>at [32]</w:t>
      </w:r>
      <w:r w:rsidR="00136999" w:rsidRPr="00136999">
        <w:t xml:space="preserve"> </w:t>
      </w:r>
      <w:r w:rsidR="00136999">
        <w:t xml:space="preserve">and </w:t>
      </w:r>
      <w:r w:rsidR="00136999" w:rsidRPr="00136999">
        <w:rPr>
          <w:i/>
          <w:iCs/>
        </w:rPr>
        <w:t>Marbrow v. Sharpes Garden</w:t>
      </w:r>
      <w:r w:rsidR="00136999">
        <w:rPr>
          <w:i/>
          <w:iCs/>
        </w:rPr>
        <w:t xml:space="preserve"> </w:t>
      </w:r>
      <w:r w:rsidR="00136999" w:rsidRPr="00136999">
        <w:rPr>
          <w:i/>
          <w:iCs/>
        </w:rPr>
        <w:t>Services Limited</w:t>
      </w:r>
      <w:r w:rsidR="00136999">
        <w:t xml:space="preserve"> [2020] EWHC B26 (Costs)</w:t>
      </w:r>
      <w:r w:rsidR="00A53D93">
        <w:t xml:space="preserve"> per</w:t>
      </w:r>
      <w:r w:rsidR="00136999">
        <w:t xml:space="preserve"> </w:t>
      </w:r>
      <w:r w:rsidR="00A53D93">
        <w:t xml:space="preserve">Senior Costs Judge Gordon-Saker </w:t>
      </w:r>
      <w:r w:rsidR="00136999">
        <w:t>at [33]</w:t>
      </w:r>
      <w:r w:rsidR="00AD6200" w:rsidRPr="00AD6200">
        <w:t>)</w:t>
      </w:r>
      <w:r w:rsidR="00032E40">
        <w:t xml:space="preserve">. I do not see how this point takes BHP any further. First, the provision relied upon was subject to the court otherwise ordering. Secondly, </w:t>
      </w:r>
      <w:r w:rsidR="00847EB2">
        <w:t xml:space="preserve">CPR Part 44.3B(1) had nothing to do with the </w:t>
      </w:r>
      <w:r w:rsidR="00844BA2">
        <w:t>a</w:t>
      </w:r>
      <w:r w:rsidR="00847EB2">
        <w:t xml:space="preserve">ward of </w:t>
      </w:r>
      <w:r w:rsidR="00844BA2">
        <w:t>pre-judgment interest on costs</w:t>
      </w:r>
      <w:r w:rsidR="00242AA1">
        <w:t xml:space="preserve">. The entire </w:t>
      </w:r>
      <w:r w:rsidR="003E63D6">
        <w:t xml:space="preserve">legislative </w:t>
      </w:r>
      <w:r w:rsidR="00844BA2">
        <w:t>history</w:t>
      </w:r>
      <w:r w:rsidR="00242AA1">
        <w:t>,</w:t>
      </w:r>
      <w:r w:rsidR="00844BA2">
        <w:t xml:space="preserve"> </w:t>
      </w:r>
      <w:r w:rsidR="00242AA1">
        <w:t xml:space="preserve">that I have </w:t>
      </w:r>
      <w:r w:rsidR="00844BA2">
        <w:t xml:space="preserve">explained at </w:t>
      </w:r>
      <w:r w:rsidR="00095AC6">
        <w:t>[17]-[27] above</w:t>
      </w:r>
      <w:r w:rsidR="003E63D6">
        <w:t xml:space="preserve">, </w:t>
      </w:r>
      <w:r w:rsidR="00242AA1">
        <w:t xml:space="preserve">shows that the award of pre-judgment interest on costs </w:t>
      </w:r>
      <w:r w:rsidR="003E63D6">
        <w:t>is entirely distinct and separate from the recoverability of success fees.</w:t>
      </w:r>
    </w:p>
    <w:p w14:paraId="594D433A" w14:textId="77777777" w:rsidR="00106F42" w:rsidRDefault="00106F42" w:rsidP="00016F7F">
      <w:pPr>
        <w:pStyle w:val="ParaLevel1"/>
        <w:numPr>
          <w:ilvl w:val="0"/>
          <w:numId w:val="0"/>
        </w:numPr>
        <w:rPr>
          <w:u w:val="single"/>
        </w:rPr>
      </w:pPr>
    </w:p>
    <w:p w14:paraId="756B7864" w14:textId="65D28BE2" w:rsidR="00730E44" w:rsidRDefault="008E3628" w:rsidP="00016F7F">
      <w:pPr>
        <w:pStyle w:val="ParaLevel1"/>
        <w:numPr>
          <w:ilvl w:val="0"/>
          <w:numId w:val="0"/>
        </w:numPr>
      </w:pPr>
      <w:r w:rsidRPr="008E3628">
        <w:rPr>
          <w:u w:val="single"/>
        </w:rPr>
        <w:lastRenderedPageBreak/>
        <w:t>C</w:t>
      </w:r>
      <w:r w:rsidR="00730E44" w:rsidRPr="008E3628">
        <w:rPr>
          <w:u w:val="single"/>
        </w:rPr>
        <w:t>onclusions</w:t>
      </w:r>
    </w:p>
    <w:p w14:paraId="778E964F" w14:textId="629FDA8B" w:rsidR="008E3628" w:rsidRDefault="00894384" w:rsidP="00016F7F">
      <w:pPr>
        <w:pStyle w:val="ParaLevel1"/>
      </w:pPr>
      <w:r>
        <w:t xml:space="preserve">I should say, in closing, that BHP said nothing in oral argument about the second part of its </w:t>
      </w:r>
      <w:r w:rsidR="00643364">
        <w:t>ground of appeal, namely that,</w:t>
      </w:r>
      <w:r>
        <w:t xml:space="preserve"> if </w:t>
      </w:r>
      <w:r w:rsidR="00643364">
        <w:t>CPR Part 44.2(6)</w:t>
      </w:r>
      <w:r w:rsidR="00001055">
        <w:t>(</w:t>
      </w:r>
      <w:r w:rsidR="00643364">
        <w:t>g)</w:t>
      </w:r>
      <w:r w:rsidR="00001055">
        <w:t xml:space="preserve"> gave </w:t>
      </w:r>
      <w:r w:rsidR="00A3224D">
        <w:t xml:space="preserve">the court the power to </w:t>
      </w:r>
      <w:r w:rsidR="00643364">
        <w:t>award pre-judgment interest on costs to the claimants</w:t>
      </w:r>
      <w:r w:rsidR="00001055">
        <w:t xml:space="preserve">, </w:t>
      </w:r>
      <w:r>
        <w:t xml:space="preserve">the court should not have exercised </w:t>
      </w:r>
      <w:r w:rsidR="00A3224D">
        <w:t>that power</w:t>
      </w:r>
      <w:r>
        <w:t xml:space="preserve"> in the claimants’ favour</w:t>
      </w:r>
      <w:r w:rsidR="00A3224D">
        <w:t>. In my judgment, the judge was entirely right to exercise the discretion that I have held she had in the way she did in the claimants’ favour.</w:t>
      </w:r>
    </w:p>
    <w:p w14:paraId="33BB88D8" w14:textId="3A480AB3" w:rsidR="00082688" w:rsidRDefault="00082688" w:rsidP="00016F7F">
      <w:pPr>
        <w:pStyle w:val="ParaLevel1"/>
      </w:pPr>
      <w:r>
        <w:t>I would dismiss this appeal.</w:t>
      </w:r>
    </w:p>
    <w:p w14:paraId="5D555D9F" w14:textId="78CF4BDE" w:rsidR="00CD3D89" w:rsidRPr="00E852A0" w:rsidRDefault="00E852A0" w:rsidP="00016F7F">
      <w:pPr>
        <w:pStyle w:val="ParaLevel1"/>
        <w:numPr>
          <w:ilvl w:val="0"/>
          <w:numId w:val="0"/>
        </w:numPr>
        <w:rPr>
          <w:b/>
          <w:bCs/>
        </w:rPr>
      </w:pPr>
      <w:r>
        <w:rPr>
          <w:b/>
          <w:bCs/>
        </w:rPr>
        <w:t xml:space="preserve">Lord Justice </w:t>
      </w:r>
      <w:r w:rsidR="006C490A">
        <w:rPr>
          <w:b/>
          <w:bCs/>
        </w:rPr>
        <w:t>Zacaroli</w:t>
      </w:r>
      <w:r>
        <w:rPr>
          <w:b/>
          <w:bCs/>
        </w:rPr>
        <w:t>:</w:t>
      </w:r>
    </w:p>
    <w:p w14:paraId="6797DC18" w14:textId="2DB87236" w:rsidR="00CD3D89" w:rsidRDefault="00146C73" w:rsidP="00016F7F">
      <w:pPr>
        <w:pStyle w:val="ParaLevel1"/>
      </w:pPr>
      <w:r>
        <w:t>I agree.</w:t>
      </w:r>
    </w:p>
    <w:p w14:paraId="76098D54" w14:textId="42897E5A" w:rsidR="00CD3D89" w:rsidRPr="00E852A0" w:rsidRDefault="00E852A0" w:rsidP="00016F7F">
      <w:pPr>
        <w:pStyle w:val="ParaLevel1"/>
        <w:numPr>
          <w:ilvl w:val="0"/>
          <w:numId w:val="0"/>
        </w:numPr>
        <w:rPr>
          <w:b/>
          <w:bCs/>
        </w:rPr>
      </w:pPr>
      <w:r>
        <w:rPr>
          <w:b/>
          <w:bCs/>
        </w:rPr>
        <w:t xml:space="preserve">Lady Justice </w:t>
      </w:r>
      <w:r w:rsidR="006C490A">
        <w:rPr>
          <w:b/>
          <w:bCs/>
        </w:rPr>
        <w:t>Cockerill</w:t>
      </w:r>
      <w:r w:rsidR="003E55B1">
        <w:rPr>
          <w:b/>
          <w:bCs/>
        </w:rPr>
        <w:t>:</w:t>
      </w:r>
    </w:p>
    <w:p w14:paraId="2FCDEADC" w14:textId="0E6F6B5F" w:rsidR="00CD3D89" w:rsidRDefault="00146C73" w:rsidP="00016F7F">
      <w:pPr>
        <w:pStyle w:val="ParaLevel1"/>
      </w:pPr>
      <w:r>
        <w:t>I also agree</w:t>
      </w:r>
      <w:r w:rsidR="0044357F">
        <w:t>.</w:t>
      </w:r>
    </w:p>
    <w:sectPr w:rsidR="00CD3D89" w:rsidSect="00016F7F">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F078F" w14:textId="77777777" w:rsidR="00235E1B" w:rsidRDefault="00235E1B">
      <w:r>
        <w:separator/>
      </w:r>
    </w:p>
  </w:endnote>
  <w:endnote w:type="continuationSeparator" w:id="0">
    <w:p w14:paraId="29B25292" w14:textId="77777777" w:rsidR="00235E1B" w:rsidRDefault="0023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72F2" w14:textId="77777777" w:rsidR="00016F7F" w:rsidRDefault="00016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D5BF" w14:textId="3BFE0340" w:rsidR="00C439A3" w:rsidRDefault="00C439A3">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78D6" w14:textId="77777777" w:rsidR="00016F7F" w:rsidRDefault="00016F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2642" w14:textId="77777777" w:rsidR="00C439A3" w:rsidRPr="00016F7F" w:rsidRDefault="00C439A3" w:rsidP="00016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56AB6" w14:textId="77777777" w:rsidR="00235E1B" w:rsidRDefault="00235E1B">
      <w:r>
        <w:separator/>
      </w:r>
    </w:p>
  </w:footnote>
  <w:footnote w:type="continuationSeparator" w:id="0">
    <w:p w14:paraId="0AA7DB09" w14:textId="77777777" w:rsidR="00235E1B" w:rsidRDefault="00235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55F4" w14:textId="77777777" w:rsidR="00016F7F" w:rsidRDefault="00016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84B7" w14:textId="77777777" w:rsidR="00016F7F" w:rsidRDefault="00016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88B8" w14:textId="77777777" w:rsidR="00016F7F" w:rsidRDefault="00016F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622"/>
      <w:gridCol w:w="4622"/>
    </w:tblGrid>
    <w:tr w:rsidR="00C439A3" w:rsidRPr="00CA1ADC" w14:paraId="5853BFE7" w14:textId="77777777">
      <w:tc>
        <w:tcPr>
          <w:tcW w:w="4622" w:type="dxa"/>
        </w:tcPr>
        <w:p w14:paraId="075B3FA9" w14:textId="77777777" w:rsidR="00016F7F" w:rsidRDefault="00016F7F">
          <w:pPr>
            <w:pStyle w:val="Header"/>
            <w:rPr>
              <w:rFonts w:ascii="Times New Roman" w:hAnsi="Times New Roman"/>
              <w:b/>
              <w:sz w:val="16"/>
              <w:u w:val="single"/>
            </w:rPr>
          </w:pPr>
          <w:r>
            <w:rPr>
              <w:rFonts w:ascii="Times New Roman" w:hAnsi="Times New Roman"/>
              <w:b/>
              <w:sz w:val="16"/>
              <w:u w:val="single"/>
            </w:rPr>
            <w:t>Judgment Approved by the court for handing down</w:t>
          </w:r>
        </w:p>
        <w:p w14:paraId="7BD15B24" w14:textId="756607F3" w:rsidR="00C439A3" w:rsidRPr="00016F7F" w:rsidRDefault="00C439A3">
          <w:pPr>
            <w:pStyle w:val="Header"/>
            <w:rPr>
              <w:rFonts w:ascii="Times New Roman" w:hAnsi="Times New Roman"/>
              <w:b/>
              <w:sz w:val="16"/>
              <w:u w:val="single"/>
            </w:rPr>
          </w:pPr>
        </w:p>
      </w:tc>
      <w:tc>
        <w:tcPr>
          <w:tcW w:w="4622" w:type="dxa"/>
        </w:tcPr>
        <w:p w14:paraId="29A27448" w14:textId="4C7BD53F" w:rsidR="00C439A3" w:rsidRPr="0076785E" w:rsidRDefault="0076785E">
          <w:pPr>
            <w:pStyle w:val="Header"/>
            <w:jc w:val="right"/>
            <w:rPr>
              <w:rFonts w:ascii="Times New Roman" w:hAnsi="Times New Roman"/>
              <w:sz w:val="16"/>
              <w:lang w:val="pt-BR"/>
            </w:rPr>
          </w:pPr>
          <w:r w:rsidRPr="0076785E">
            <w:rPr>
              <w:rFonts w:ascii="Times New Roman" w:hAnsi="Times New Roman"/>
              <w:sz w:val="16"/>
              <w:lang w:val="pt-BR"/>
            </w:rPr>
            <w:t xml:space="preserve">Municipio de </w:t>
          </w:r>
          <w:r w:rsidR="003529DF" w:rsidRPr="0076785E">
            <w:rPr>
              <w:rFonts w:ascii="Times New Roman" w:hAnsi="Times New Roman"/>
              <w:sz w:val="16"/>
              <w:lang w:val="pt-BR"/>
            </w:rPr>
            <w:t>Mariana</w:t>
          </w:r>
          <w:r w:rsidR="00347DE4" w:rsidRPr="0076785E">
            <w:rPr>
              <w:rFonts w:ascii="Times New Roman" w:hAnsi="Times New Roman"/>
              <w:sz w:val="16"/>
              <w:lang w:val="pt-BR"/>
            </w:rPr>
            <w:t xml:space="preserve"> </w:t>
          </w:r>
          <w:r w:rsidR="00B81E4D" w:rsidRPr="0076785E">
            <w:rPr>
              <w:rFonts w:ascii="Times New Roman" w:hAnsi="Times New Roman"/>
              <w:sz w:val="16"/>
              <w:lang w:val="pt-BR"/>
            </w:rPr>
            <w:t xml:space="preserve">v. </w:t>
          </w:r>
          <w:r w:rsidRPr="0076785E">
            <w:rPr>
              <w:rFonts w:ascii="Times New Roman" w:hAnsi="Times New Roman"/>
              <w:sz w:val="16"/>
              <w:lang w:val="pt-BR"/>
            </w:rPr>
            <w:t>BHP Group</w:t>
          </w:r>
        </w:p>
      </w:tc>
    </w:tr>
  </w:tbl>
  <w:p w14:paraId="1FF5E147" w14:textId="77777777" w:rsidR="00C439A3" w:rsidRPr="0076785E" w:rsidRDefault="00C439A3">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001A07D1"/>
    <w:multiLevelType w:val="hybridMultilevel"/>
    <w:tmpl w:val="CAE8A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EC15C8"/>
    <w:multiLevelType w:val="hybridMultilevel"/>
    <w:tmpl w:val="93220D68"/>
    <w:lvl w:ilvl="0" w:tplc="C3BA6506">
      <w:start w:val="1"/>
      <w:numFmt w:val="decimal"/>
      <w:lvlText w:val="(%1)"/>
      <w:lvlJc w:val="left"/>
      <w:pPr>
        <w:ind w:left="14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6C06268">
      <w:start w:val="1"/>
      <w:numFmt w:val="lowerLetter"/>
      <w:lvlText w:val="%2"/>
      <w:lvlJc w:val="left"/>
      <w:pPr>
        <w:ind w:left="44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6084004">
      <w:start w:val="1"/>
      <w:numFmt w:val="lowerRoman"/>
      <w:lvlText w:val="%3"/>
      <w:lvlJc w:val="left"/>
      <w:pPr>
        <w:ind w:left="51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3943210">
      <w:start w:val="1"/>
      <w:numFmt w:val="decimal"/>
      <w:lvlText w:val="%4"/>
      <w:lvlJc w:val="left"/>
      <w:pPr>
        <w:ind w:left="59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830206C">
      <w:start w:val="1"/>
      <w:numFmt w:val="lowerLetter"/>
      <w:lvlText w:val="%5"/>
      <w:lvlJc w:val="left"/>
      <w:pPr>
        <w:ind w:left="66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00E602">
      <w:start w:val="1"/>
      <w:numFmt w:val="lowerRoman"/>
      <w:lvlText w:val="%6"/>
      <w:lvlJc w:val="left"/>
      <w:pPr>
        <w:ind w:left="73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4B8528C">
      <w:start w:val="1"/>
      <w:numFmt w:val="decimal"/>
      <w:lvlText w:val="%7"/>
      <w:lvlJc w:val="left"/>
      <w:pPr>
        <w:ind w:left="80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7C84B82">
      <w:start w:val="1"/>
      <w:numFmt w:val="lowerLetter"/>
      <w:lvlText w:val="%8"/>
      <w:lvlJc w:val="left"/>
      <w:pPr>
        <w:ind w:left="87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1D8EB4A">
      <w:start w:val="1"/>
      <w:numFmt w:val="lowerRoman"/>
      <w:lvlText w:val="%9"/>
      <w:lvlJc w:val="left"/>
      <w:pPr>
        <w:ind w:left="95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0606CC"/>
    <w:multiLevelType w:val="multilevel"/>
    <w:tmpl w:val="CF428E76"/>
    <w:lvl w:ilvl="0">
      <w:start w:val="1"/>
      <w:numFmt w:val="decimal"/>
      <w:pStyle w:val="ParaNoNormal"/>
      <w:lvlText w:val="%1."/>
      <w:lvlJc w:val="left"/>
      <w:pPr>
        <w:tabs>
          <w:tab w:val="num" w:pos="360"/>
        </w:tabs>
        <w:ind w:left="0" w:firstLine="0"/>
      </w:pPr>
    </w:lvl>
    <w:lvl w:ilvl="1">
      <w:start w:val="1"/>
      <w:numFmt w:val="lowerLetter"/>
      <w:lvlText w:val="(%2)"/>
      <w:lvlJc w:val="left"/>
      <w:pPr>
        <w:tabs>
          <w:tab w:val="num" w:pos="720"/>
        </w:tabs>
        <w:ind w:left="720" w:hanging="720"/>
      </w:pPr>
    </w:lvl>
    <w:lvl w:ilvl="2">
      <w:start w:val="1"/>
      <w:numFmt w:val="lowerRoman"/>
      <w:lvlText w:val="(%3)"/>
      <w:lvlJc w:val="left"/>
      <w:pPr>
        <w:tabs>
          <w:tab w:val="num" w:pos="720"/>
        </w:tabs>
        <w:ind w:left="720" w:hanging="720"/>
      </w:pPr>
    </w:lvl>
    <w:lvl w:ilvl="3">
      <w:start w:val="1"/>
      <w:numFmt w:val="decimal"/>
      <w:lvlText w:val="(%4)"/>
      <w:lvlJc w:val="left"/>
      <w:pPr>
        <w:tabs>
          <w:tab w:val="num" w:pos="720"/>
        </w:tabs>
        <w:ind w:left="7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A191319"/>
    <w:multiLevelType w:val="hybridMultilevel"/>
    <w:tmpl w:val="B3C4F3A6"/>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345FDE"/>
    <w:multiLevelType w:val="hybridMultilevel"/>
    <w:tmpl w:val="4984BFB4"/>
    <w:lvl w:ilvl="0" w:tplc="0AAE256C">
      <w:start w:val="1"/>
      <w:numFmt w:val="decimal"/>
      <w:lvlText w:val="(%1)"/>
      <w:lvlJc w:val="left"/>
      <w:pPr>
        <w:ind w:left="5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A6DBD6">
      <w:start w:val="1"/>
      <w:numFmt w:val="lowerLetter"/>
      <w:lvlText w:val="%2"/>
      <w:lvlJc w:val="left"/>
      <w:pPr>
        <w:ind w:left="32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5149CAE">
      <w:start w:val="1"/>
      <w:numFmt w:val="lowerRoman"/>
      <w:lvlText w:val="%3"/>
      <w:lvlJc w:val="left"/>
      <w:pPr>
        <w:ind w:left="3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8C09140">
      <w:start w:val="1"/>
      <w:numFmt w:val="decimal"/>
      <w:lvlText w:val="%4"/>
      <w:lvlJc w:val="left"/>
      <w:pPr>
        <w:ind w:left="4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5C6EC8E">
      <w:start w:val="1"/>
      <w:numFmt w:val="lowerLetter"/>
      <w:lvlText w:val="%5"/>
      <w:lvlJc w:val="left"/>
      <w:pPr>
        <w:ind w:left="5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C662EF4">
      <w:start w:val="1"/>
      <w:numFmt w:val="lowerRoman"/>
      <w:lvlText w:val="%6"/>
      <w:lvlJc w:val="left"/>
      <w:pPr>
        <w:ind w:left="6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8E23216">
      <w:start w:val="1"/>
      <w:numFmt w:val="decimal"/>
      <w:lvlText w:val="%7"/>
      <w:lvlJc w:val="left"/>
      <w:pPr>
        <w:ind w:left="6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429CA2">
      <w:start w:val="1"/>
      <w:numFmt w:val="lowerLetter"/>
      <w:lvlText w:val="%8"/>
      <w:lvlJc w:val="left"/>
      <w:pPr>
        <w:ind w:left="7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F6E20D0">
      <w:start w:val="1"/>
      <w:numFmt w:val="lowerRoman"/>
      <w:lvlText w:val="%9"/>
      <w:lvlJc w:val="left"/>
      <w:pPr>
        <w:ind w:left="8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252155"/>
    <w:multiLevelType w:val="hybridMultilevel"/>
    <w:tmpl w:val="4DA05AC0"/>
    <w:lvl w:ilvl="0" w:tplc="3D4CE1B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5E736"/>
    <w:multiLevelType w:val="multilevel"/>
    <w:tmpl w:val="EE76D7B8"/>
    <w:lvl w:ilvl="0">
      <w:start w:val="1"/>
      <w:numFmt w:val="decimal"/>
      <w:pStyle w:val="MixtureParaNo"/>
      <w:lvlText w:val="%1."/>
      <w:lvlJc w:val="left"/>
      <w:pPr>
        <w:ind w:left="681" w:hanging="681"/>
      </w:pPr>
      <w:rPr>
        <w:b w:val="0"/>
        <w:bCs w:val="0"/>
        <w:i w:val="0"/>
        <w:iCs w:val="0"/>
        <w:color w:val="auto"/>
      </w:rPr>
    </w:lvl>
    <w:lvl w:ilvl="1">
      <w:start w:val="1"/>
      <w:numFmt w:val="decimal"/>
      <w:pStyle w:val="L2para"/>
      <w:lvlText w:val="%1.%2."/>
      <w:lvlJc w:val="left"/>
      <w:pPr>
        <w:ind w:left="1440" w:hanging="720"/>
      </w:pPr>
      <w:rPr>
        <w:rFonts w:ascii="Garamond" w:hAnsi="Garamond" w:hint="default"/>
        <w:b w:val="0"/>
        <w:bCs/>
        <w:i w:val="0"/>
        <w:iCs w:val="0"/>
        <w:color w:val="auto"/>
      </w:rPr>
    </w:lvl>
    <w:lvl w:ilvl="2">
      <w:start w:val="1"/>
      <w:numFmt w:val="decimal"/>
      <w:pStyle w:val="L3para"/>
      <w:lvlText w:val="%1.%2.%3"/>
      <w:lvlJc w:val="right"/>
      <w:pPr>
        <w:ind w:left="2835" w:hanging="567"/>
      </w:pPr>
      <w:rPr>
        <w:rFonts w:hint="default"/>
        <w:b w:val="0"/>
        <w:bCs w:val="0"/>
      </w:rPr>
    </w:lvl>
    <w:lvl w:ilvl="3">
      <w:start w:val="1"/>
      <w:numFmt w:val="decimal"/>
      <w:lvlText w:val="%4."/>
      <w:lvlJc w:val="left"/>
      <w:pPr>
        <w:ind w:left="3912" w:hanging="681"/>
      </w:pPr>
      <w:rPr>
        <w:rFonts w:hint="default"/>
      </w:rPr>
    </w:lvl>
    <w:lvl w:ilvl="4">
      <w:start w:val="1"/>
      <w:numFmt w:val="lowerLetter"/>
      <w:lvlText w:val="%5."/>
      <w:lvlJc w:val="left"/>
      <w:pPr>
        <w:ind w:left="4989" w:hanging="681"/>
      </w:pPr>
      <w:rPr>
        <w:rFonts w:hint="default"/>
      </w:rPr>
    </w:lvl>
    <w:lvl w:ilvl="5">
      <w:start w:val="1"/>
      <w:numFmt w:val="lowerRoman"/>
      <w:lvlText w:val="%6."/>
      <w:lvlJc w:val="right"/>
      <w:pPr>
        <w:ind w:left="6066" w:hanging="681"/>
      </w:pPr>
      <w:rPr>
        <w:rFonts w:hint="default"/>
      </w:rPr>
    </w:lvl>
    <w:lvl w:ilvl="6">
      <w:start w:val="1"/>
      <w:numFmt w:val="decimal"/>
      <w:lvlText w:val="%7."/>
      <w:lvlJc w:val="left"/>
      <w:pPr>
        <w:ind w:left="7143" w:hanging="681"/>
      </w:pPr>
      <w:rPr>
        <w:rFonts w:hint="default"/>
      </w:rPr>
    </w:lvl>
    <w:lvl w:ilvl="7">
      <w:start w:val="1"/>
      <w:numFmt w:val="lowerLetter"/>
      <w:lvlText w:val="%8."/>
      <w:lvlJc w:val="left"/>
      <w:pPr>
        <w:ind w:left="8220" w:hanging="681"/>
      </w:pPr>
      <w:rPr>
        <w:rFonts w:hint="default"/>
      </w:rPr>
    </w:lvl>
    <w:lvl w:ilvl="8">
      <w:start w:val="1"/>
      <w:numFmt w:val="lowerRoman"/>
      <w:lvlText w:val="%9."/>
      <w:lvlJc w:val="right"/>
      <w:pPr>
        <w:ind w:left="9297" w:hanging="681"/>
      </w:pPr>
      <w:rPr>
        <w:rFonts w:hint="default"/>
      </w:rPr>
    </w:lvl>
  </w:abstractNum>
  <w:abstractNum w:abstractNumId="8" w15:restartNumberingAfterBreak="0">
    <w:nsid w:val="132B117A"/>
    <w:multiLevelType w:val="hybridMultilevel"/>
    <w:tmpl w:val="5A04B358"/>
    <w:lvl w:ilvl="0" w:tplc="4DB2FBE6">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9" w15:restartNumberingAfterBreak="0">
    <w:nsid w:val="16A74B0A"/>
    <w:multiLevelType w:val="hybridMultilevel"/>
    <w:tmpl w:val="E69EB9F2"/>
    <w:lvl w:ilvl="0" w:tplc="825221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EC7DE6"/>
    <w:multiLevelType w:val="multilevel"/>
    <w:tmpl w:val="531CBFD6"/>
    <w:lvl w:ilvl="0">
      <w:start w:val="20"/>
      <w:numFmt w:val="decimal"/>
      <w:lvlText w:val="%1"/>
      <w:lvlJc w:val="left"/>
      <w:pPr>
        <w:ind w:left="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103ECF"/>
    <w:multiLevelType w:val="hybridMultilevel"/>
    <w:tmpl w:val="AF7A7192"/>
    <w:lvl w:ilvl="0" w:tplc="7F72CD38">
      <w:start w:val="3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8099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EE19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2C8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7CB8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E09E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7AC6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EDC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A0E7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E14295D"/>
    <w:multiLevelType w:val="hybridMultilevel"/>
    <w:tmpl w:val="1A046B1A"/>
    <w:lvl w:ilvl="0" w:tplc="264A4414">
      <w:start w:val="6"/>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A0B3AC">
      <w:start w:val="16"/>
      <w:numFmt w:val="decimal"/>
      <w:lvlText w:val="%2."/>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1415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C6353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DC185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E2AB3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08FBD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52C14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60A77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3664739"/>
    <w:multiLevelType w:val="hybridMultilevel"/>
    <w:tmpl w:val="D6B6C588"/>
    <w:lvl w:ilvl="0" w:tplc="40E87A5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320F9C"/>
    <w:multiLevelType w:val="hybridMultilevel"/>
    <w:tmpl w:val="B66E3612"/>
    <w:lvl w:ilvl="0" w:tplc="B3BA5856">
      <w:start w:val="1"/>
      <w:numFmt w:val="decimal"/>
      <w:lvlText w:val="(%1)"/>
      <w:lvlJc w:val="left"/>
      <w:pPr>
        <w:ind w:left="3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45403FB2">
      <w:start w:val="1"/>
      <w:numFmt w:val="lowerLetter"/>
      <w:lvlText w:val="%2"/>
      <w:lvlJc w:val="left"/>
      <w:pPr>
        <w:ind w:left="438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2000B6E">
      <w:start w:val="1"/>
      <w:numFmt w:val="lowerRoman"/>
      <w:lvlText w:val="%3"/>
      <w:lvlJc w:val="left"/>
      <w:pPr>
        <w:ind w:left="51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C0564B76">
      <w:start w:val="1"/>
      <w:numFmt w:val="decimal"/>
      <w:lvlText w:val="%4"/>
      <w:lvlJc w:val="left"/>
      <w:pPr>
        <w:ind w:left="582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7BCA5CDA">
      <w:start w:val="1"/>
      <w:numFmt w:val="lowerLetter"/>
      <w:lvlText w:val="%5"/>
      <w:lvlJc w:val="left"/>
      <w:pPr>
        <w:ind w:left="654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95846B7E">
      <w:start w:val="1"/>
      <w:numFmt w:val="lowerRoman"/>
      <w:lvlText w:val="%6"/>
      <w:lvlJc w:val="left"/>
      <w:pPr>
        <w:ind w:left="72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D44E758">
      <w:start w:val="1"/>
      <w:numFmt w:val="decimal"/>
      <w:lvlText w:val="%7"/>
      <w:lvlJc w:val="left"/>
      <w:pPr>
        <w:ind w:left="798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4DABF52">
      <w:start w:val="1"/>
      <w:numFmt w:val="lowerLetter"/>
      <w:lvlText w:val="%8"/>
      <w:lvlJc w:val="left"/>
      <w:pPr>
        <w:ind w:left="87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35D6CFE2">
      <w:start w:val="1"/>
      <w:numFmt w:val="lowerRoman"/>
      <w:lvlText w:val="%9"/>
      <w:lvlJc w:val="left"/>
      <w:pPr>
        <w:ind w:left="942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0416837"/>
    <w:multiLevelType w:val="hybridMultilevel"/>
    <w:tmpl w:val="BE52F562"/>
    <w:lvl w:ilvl="0" w:tplc="48740BC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D688F6">
      <w:start w:val="1"/>
      <w:numFmt w:val="lowerLetter"/>
      <w:lvlText w:val="%2"/>
      <w:lvlJc w:val="left"/>
      <w:pPr>
        <w:ind w:left="1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5EEE7A">
      <w:start w:val="1"/>
      <w:numFmt w:val="lowerLetter"/>
      <w:lvlRestart w:val="0"/>
      <w:lvlText w:val="(%3)"/>
      <w:lvlJc w:val="left"/>
      <w:pPr>
        <w:ind w:left="2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3678D6">
      <w:start w:val="1"/>
      <w:numFmt w:val="decimal"/>
      <w:lvlText w:val="%4"/>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34EC9E">
      <w:start w:val="1"/>
      <w:numFmt w:val="lowerLetter"/>
      <w:lvlText w:val="%5"/>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78DDBC">
      <w:start w:val="1"/>
      <w:numFmt w:val="lowerRoman"/>
      <w:lvlText w:val="%6"/>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A8A01C">
      <w:start w:val="1"/>
      <w:numFmt w:val="decimal"/>
      <w:lvlText w:val="%7"/>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8233E">
      <w:start w:val="1"/>
      <w:numFmt w:val="lowerLetter"/>
      <w:lvlText w:val="%8"/>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EA2A1C">
      <w:start w:val="1"/>
      <w:numFmt w:val="lowerRoman"/>
      <w:lvlText w:val="%9"/>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1E56DFA"/>
    <w:multiLevelType w:val="hybridMultilevel"/>
    <w:tmpl w:val="A7805964"/>
    <w:lvl w:ilvl="0" w:tplc="BA3AD4CA">
      <w:start w:val="3"/>
      <w:numFmt w:val="decimal"/>
      <w:lvlText w:val="(%1)"/>
      <w:lvlJc w:val="left"/>
      <w:pPr>
        <w:ind w:left="5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43864">
      <w:start w:val="1"/>
      <w:numFmt w:val="lowerLetter"/>
      <w:lvlText w:val="%2"/>
      <w:lvlJc w:val="left"/>
      <w:pPr>
        <w:ind w:left="4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EE8AA0A">
      <w:start w:val="1"/>
      <w:numFmt w:val="lowerRoman"/>
      <w:lvlText w:val="%3"/>
      <w:lvlJc w:val="left"/>
      <w:pPr>
        <w:ind w:left="50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EA5EC2">
      <w:start w:val="1"/>
      <w:numFmt w:val="decimal"/>
      <w:lvlText w:val="%4"/>
      <w:lvlJc w:val="left"/>
      <w:pPr>
        <w:ind w:left="58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792364E">
      <w:start w:val="1"/>
      <w:numFmt w:val="lowerLetter"/>
      <w:lvlText w:val="%5"/>
      <w:lvlJc w:val="left"/>
      <w:pPr>
        <w:ind w:left="65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9E02212">
      <w:start w:val="1"/>
      <w:numFmt w:val="lowerRoman"/>
      <w:lvlText w:val="%6"/>
      <w:lvlJc w:val="left"/>
      <w:pPr>
        <w:ind w:left="7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C655F0">
      <w:start w:val="1"/>
      <w:numFmt w:val="decimal"/>
      <w:lvlText w:val="%7"/>
      <w:lvlJc w:val="left"/>
      <w:pPr>
        <w:ind w:left="79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1721AC2">
      <w:start w:val="1"/>
      <w:numFmt w:val="lowerLetter"/>
      <w:lvlText w:val="%8"/>
      <w:lvlJc w:val="left"/>
      <w:pPr>
        <w:ind w:left="86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0CCCAB0">
      <w:start w:val="1"/>
      <w:numFmt w:val="lowerRoman"/>
      <w:lvlText w:val="%9"/>
      <w:lvlJc w:val="left"/>
      <w:pPr>
        <w:ind w:left="94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2022A47"/>
    <w:multiLevelType w:val="hybridMultilevel"/>
    <w:tmpl w:val="338AC546"/>
    <w:lvl w:ilvl="0" w:tplc="A5484E7E">
      <w:start w:val="18"/>
      <w:numFmt w:val="decimal"/>
      <w:lvlText w:val="%1."/>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7001CA">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0A1700">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1E604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9496FC">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6269D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C0D10A">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E4698">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7CE954">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7416777"/>
    <w:multiLevelType w:val="hybridMultilevel"/>
    <w:tmpl w:val="885E1D74"/>
    <w:lvl w:ilvl="0" w:tplc="6CF8E1B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722609"/>
    <w:multiLevelType w:val="hybridMultilevel"/>
    <w:tmpl w:val="85B028C0"/>
    <w:lvl w:ilvl="0" w:tplc="AA72765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96812D8"/>
    <w:multiLevelType w:val="hybridMultilevel"/>
    <w:tmpl w:val="369EB33E"/>
    <w:lvl w:ilvl="0" w:tplc="FF18BF8A">
      <w:start w:val="19"/>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40A100">
      <w:start w:val="1"/>
      <w:numFmt w:val="lowerRoman"/>
      <w:lvlText w:val="%2)"/>
      <w:lvlJc w:val="left"/>
      <w:pPr>
        <w:ind w:left="1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B27414">
      <w:start w:val="1"/>
      <w:numFmt w:val="lowerRoman"/>
      <w:lvlText w:val="%3"/>
      <w:lvlJc w:val="left"/>
      <w:pPr>
        <w:ind w:left="2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254CA">
      <w:start w:val="1"/>
      <w:numFmt w:val="decimal"/>
      <w:lvlText w:val="%4"/>
      <w:lvlJc w:val="left"/>
      <w:pPr>
        <w:ind w:left="3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0CC018">
      <w:start w:val="1"/>
      <w:numFmt w:val="lowerLetter"/>
      <w:lvlText w:val="%5"/>
      <w:lvlJc w:val="left"/>
      <w:pPr>
        <w:ind w:left="3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D0BE94">
      <w:start w:val="1"/>
      <w:numFmt w:val="lowerRoman"/>
      <w:lvlText w:val="%6"/>
      <w:lvlJc w:val="left"/>
      <w:pPr>
        <w:ind w:left="4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98DC36">
      <w:start w:val="1"/>
      <w:numFmt w:val="decimal"/>
      <w:lvlText w:val="%7"/>
      <w:lvlJc w:val="left"/>
      <w:pPr>
        <w:ind w:left="5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226778">
      <w:start w:val="1"/>
      <w:numFmt w:val="lowerLetter"/>
      <w:lvlText w:val="%8"/>
      <w:lvlJc w:val="left"/>
      <w:pPr>
        <w:ind w:left="5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148CC6">
      <w:start w:val="1"/>
      <w:numFmt w:val="lowerRoman"/>
      <w:lvlText w:val="%9"/>
      <w:lvlJc w:val="left"/>
      <w:pPr>
        <w:ind w:left="6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E0E4EDC"/>
    <w:multiLevelType w:val="hybridMultilevel"/>
    <w:tmpl w:val="46A0B7C2"/>
    <w:lvl w:ilvl="0" w:tplc="43F45150">
      <w:start w:val="1"/>
      <w:numFmt w:val="decimal"/>
      <w:lvlText w:val="%1."/>
      <w:lvlJc w:val="left"/>
      <w:pPr>
        <w:ind w:left="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9C9718">
      <w:start w:val="44"/>
      <w:numFmt w:val="decimal"/>
      <w:lvlText w:val="%2."/>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3CA4C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7EB1C6">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24338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482CA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E46178">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5A3282">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7AD88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8A2231B"/>
    <w:multiLevelType w:val="hybridMultilevel"/>
    <w:tmpl w:val="04AEFE7E"/>
    <w:lvl w:ilvl="0" w:tplc="E062B4CA">
      <w:start w:val="33"/>
      <w:numFmt w:val="decimal"/>
      <w:lvlText w:val="%1."/>
      <w:lvlJc w:val="left"/>
      <w:pPr>
        <w:ind w:left="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F4C0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EC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485D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FE0F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64D8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5A9E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1CE7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102D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8C62190"/>
    <w:multiLevelType w:val="hybridMultilevel"/>
    <w:tmpl w:val="9FD06F7C"/>
    <w:lvl w:ilvl="0" w:tplc="72685B1C">
      <w:start w:val="47"/>
      <w:numFmt w:val="decimal"/>
      <w:lvlText w:val="%1."/>
      <w:lvlJc w:val="left"/>
      <w:pPr>
        <w:ind w:left="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5AE5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683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A6ED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F6DE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ABB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E0DB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66B8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1E21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A6C4749"/>
    <w:multiLevelType w:val="hybridMultilevel"/>
    <w:tmpl w:val="E918C518"/>
    <w:lvl w:ilvl="0" w:tplc="D29E83EE">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72E3E0">
      <w:start w:val="2"/>
      <w:numFmt w:val="decimal"/>
      <w:lvlText w:val="%2."/>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3AB13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E4353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CCE40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FC32B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FC236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4EF0D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5C958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C452F7C"/>
    <w:multiLevelType w:val="hybridMultilevel"/>
    <w:tmpl w:val="E2B250AA"/>
    <w:lvl w:ilvl="0" w:tplc="D5B04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E65D1B"/>
    <w:multiLevelType w:val="hybridMultilevel"/>
    <w:tmpl w:val="BE508638"/>
    <w:lvl w:ilvl="0" w:tplc="2458BA0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913C28"/>
    <w:multiLevelType w:val="hybridMultilevel"/>
    <w:tmpl w:val="3126DA70"/>
    <w:lvl w:ilvl="0" w:tplc="9A52B96A">
      <w:start w:val="9"/>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DEC4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6CA0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B0DC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5C3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F4A0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3E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8E6D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8A19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7941CD2"/>
    <w:multiLevelType w:val="hybridMultilevel"/>
    <w:tmpl w:val="89D64D90"/>
    <w:lvl w:ilvl="0" w:tplc="246E0BE4">
      <w:start w:val="1"/>
      <w:numFmt w:val="decimal"/>
      <w:lvlText w:val="(%1)"/>
      <w:lvlJc w:val="left"/>
      <w:pPr>
        <w:ind w:left="2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3E53AA">
      <w:start w:val="1"/>
      <w:numFmt w:val="lowerLetter"/>
      <w:lvlText w:val="%2"/>
      <w:lvlJc w:val="left"/>
      <w:pPr>
        <w:ind w:left="3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B2EB1E">
      <w:start w:val="1"/>
      <w:numFmt w:val="lowerRoman"/>
      <w:lvlText w:val="%3"/>
      <w:lvlJc w:val="left"/>
      <w:pPr>
        <w:ind w:left="4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6E1C6">
      <w:start w:val="1"/>
      <w:numFmt w:val="decimal"/>
      <w:lvlText w:val="%4"/>
      <w:lvlJc w:val="left"/>
      <w:pPr>
        <w:ind w:left="4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92044E">
      <w:start w:val="1"/>
      <w:numFmt w:val="lowerLetter"/>
      <w:lvlText w:val="%5"/>
      <w:lvlJc w:val="left"/>
      <w:pPr>
        <w:ind w:left="5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396A">
      <w:start w:val="1"/>
      <w:numFmt w:val="lowerRoman"/>
      <w:lvlText w:val="%6"/>
      <w:lvlJc w:val="left"/>
      <w:pPr>
        <w:ind w:left="6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A6774">
      <w:start w:val="1"/>
      <w:numFmt w:val="decimal"/>
      <w:lvlText w:val="%7"/>
      <w:lvlJc w:val="left"/>
      <w:pPr>
        <w:ind w:left="7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9AE792">
      <w:start w:val="1"/>
      <w:numFmt w:val="lowerLetter"/>
      <w:lvlText w:val="%8"/>
      <w:lvlJc w:val="left"/>
      <w:pPr>
        <w:ind w:left="7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F6CFA2">
      <w:start w:val="1"/>
      <w:numFmt w:val="lowerRoman"/>
      <w:lvlText w:val="%9"/>
      <w:lvlJc w:val="left"/>
      <w:pPr>
        <w:ind w:left="8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83A7431"/>
    <w:multiLevelType w:val="hybridMultilevel"/>
    <w:tmpl w:val="727A38EE"/>
    <w:lvl w:ilvl="0" w:tplc="77067FD4">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C533216"/>
    <w:multiLevelType w:val="multilevel"/>
    <w:tmpl w:val="392CB4FA"/>
    <w:lvl w:ilvl="0">
      <w:start w:val="1"/>
      <w:numFmt w:val="decimal"/>
      <w:pStyle w:val="Text"/>
      <w:lvlText w:val="%1."/>
      <w:lvlJc w:val="left"/>
      <w:pPr>
        <w:ind w:left="1134" w:hanging="777"/>
      </w:pPr>
      <w:rPr>
        <w:rFonts w:hint="default"/>
      </w:rPr>
    </w:lvl>
    <w:lvl w:ilvl="1">
      <w:start w:val="1"/>
      <w:numFmt w:val="decimal"/>
      <w:lvlText w:val="%1.%2."/>
      <w:lvlJc w:val="left"/>
      <w:pPr>
        <w:ind w:left="1854" w:hanging="777"/>
      </w:pPr>
      <w:rPr>
        <w:rFonts w:hint="default"/>
      </w:rPr>
    </w:lvl>
    <w:lvl w:ilvl="2">
      <w:start w:val="1"/>
      <w:numFmt w:val="decimal"/>
      <w:lvlText w:val="%1.%2.%3."/>
      <w:lvlJc w:val="center"/>
      <w:pPr>
        <w:tabs>
          <w:tab w:val="num" w:pos="2778"/>
        </w:tabs>
        <w:ind w:left="2608" w:hanging="567"/>
      </w:pPr>
      <w:rPr>
        <w:rFonts w:hint="default"/>
      </w:rPr>
    </w:lvl>
    <w:lvl w:ilvl="3">
      <w:start w:val="1"/>
      <w:numFmt w:val="lowerLetter"/>
      <w:lvlText w:val="(%4)"/>
      <w:lvlJc w:val="left"/>
      <w:pPr>
        <w:ind w:left="3294" w:hanging="777"/>
      </w:pPr>
      <w:rPr>
        <w:rFonts w:hint="default"/>
      </w:rPr>
    </w:lvl>
    <w:lvl w:ilvl="4">
      <w:start w:val="1"/>
      <w:numFmt w:val="lowerLetter"/>
      <w:lvlText w:val="%5."/>
      <w:lvlJc w:val="left"/>
      <w:pPr>
        <w:ind w:left="4014" w:hanging="777"/>
      </w:pPr>
      <w:rPr>
        <w:rFonts w:hint="default"/>
      </w:rPr>
    </w:lvl>
    <w:lvl w:ilvl="5">
      <w:start w:val="1"/>
      <w:numFmt w:val="lowerRoman"/>
      <w:lvlText w:val="%6."/>
      <w:lvlJc w:val="right"/>
      <w:pPr>
        <w:ind w:left="4734" w:hanging="777"/>
      </w:pPr>
      <w:rPr>
        <w:rFonts w:hint="default"/>
      </w:rPr>
    </w:lvl>
    <w:lvl w:ilvl="6">
      <w:start w:val="1"/>
      <w:numFmt w:val="decimal"/>
      <w:lvlText w:val="%7."/>
      <w:lvlJc w:val="left"/>
      <w:pPr>
        <w:ind w:left="5454" w:hanging="777"/>
      </w:pPr>
      <w:rPr>
        <w:rFonts w:hint="default"/>
      </w:rPr>
    </w:lvl>
    <w:lvl w:ilvl="7">
      <w:start w:val="1"/>
      <w:numFmt w:val="lowerLetter"/>
      <w:lvlText w:val="%8."/>
      <w:lvlJc w:val="left"/>
      <w:pPr>
        <w:ind w:left="6174" w:hanging="777"/>
      </w:pPr>
      <w:rPr>
        <w:rFonts w:hint="default"/>
      </w:rPr>
    </w:lvl>
    <w:lvl w:ilvl="8">
      <w:start w:val="1"/>
      <w:numFmt w:val="lowerRoman"/>
      <w:lvlText w:val="%9."/>
      <w:lvlJc w:val="right"/>
      <w:pPr>
        <w:ind w:left="6894" w:hanging="777"/>
      </w:pPr>
      <w:rPr>
        <w:rFonts w:hint="default"/>
      </w:rPr>
    </w:lvl>
  </w:abstractNum>
  <w:abstractNum w:abstractNumId="31" w15:restartNumberingAfterBreak="0">
    <w:nsid w:val="5F4F3357"/>
    <w:multiLevelType w:val="hybridMultilevel"/>
    <w:tmpl w:val="82F2015E"/>
    <w:lvl w:ilvl="0" w:tplc="E7AEC470">
      <w:start w:val="15"/>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D40D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9853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96AF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091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F255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6F8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CE08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0F4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2151250"/>
    <w:multiLevelType w:val="hybridMultilevel"/>
    <w:tmpl w:val="7C0AF04C"/>
    <w:lvl w:ilvl="0" w:tplc="1AA21430">
      <w:start w:val="2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A052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F87F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BC7A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9056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F019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A81A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4A8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1CAA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75F63C9"/>
    <w:multiLevelType w:val="hybridMultilevel"/>
    <w:tmpl w:val="1EA61C30"/>
    <w:lvl w:ilvl="0" w:tplc="A606E0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4B4008"/>
    <w:multiLevelType w:val="hybridMultilevel"/>
    <w:tmpl w:val="888AA702"/>
    <w:lvl w:ilvl="0" w:tplc="773CD82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CEAE0C">
      <w:start w:val="1"/>
      <w:numFmt w:val="bullet"/>
      <w:lvlText w:val="o"/>
      <w:lvlJc w:val="left"/>
      <w:pPr>
        <w:ind w:left="1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22C738">
      <w:start w:val="1"/>
      <w:numFmt w:val="bullet"/>
      <w:lvlRestart w:val="0"/>
      <w:lvlText w:val="•"/>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D63450">
      <w:start w:val="1"/>
      <w:numFmt w:val="bullet"/>
      <w:lvlText w:val="•"/>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58D78C">
      <w:start w:val="1"/>
      <w:numFmt w:val="bullet"/>
      <w:lvlText w:val="o"/>
      <w:lvlJc w:val="left"/>
      <w:pPr>
        <w:ind w:left="36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96DE0C">
      <w:start w:val="1"/>
      <w:numFmt w:val="bullet"/>
      <w:lvlText w:val="▪"/>
      <w:lvlJc w:val="left"/>
      <w:pPr>
        <w:ind w:left="43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46F326">
      <w:start w:val="1"/>
      <w:numFmt w:val="bullet"/>
      <w:lvlText w:val="•"/>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E8DA6C">
      <w:start w:val="1"/>
      <w:numFmt w:val="bullet"/>
      <w:lvlText w:val="o"/>
      <w:lvlJc w:val="left"/>
      <w:pPr>
        <w:ind w:left="58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CE792E">
      <w:start w:val="1"/>
      <w:numFmt w:val="bullet"/>
      <w:lvlText w:val="▪"/>
      <w:lvlJc w:val="left"/>
      <w:pPr>
        <w:ind w:left="6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9FF1D12"/>
    <w:multiLevelType w:val="hybridMultilevel"/>
    <w:tmpl w:val="88382F32"/>
    <w:lvl w:ilvl="0" w:tplc="F9607FDA">
      <w:start w:val="1"/>
      <w:numFmt w:val="decimal"/>
      <w:lvlText w:val="%1."/>
      <w:lvlJc w:val="left"/>
      <w:pPr>
        <w:tabs>
          <w:tab w:val="num" w:pos="720"/>
        </w:tabs>
        <w:ind w:left="720" w:hanging="360"/>
      </w:pPr>
      <w:rPr>
        <w:b w:val="0"/>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22D6C6A"/>
    <w:multiLevelType w:val="hybridMultilevel"/>
    <w:tmpl w:val="03E60824"/>
    <w:lvl w:ilvl="0" w:tplc="A01283A0">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7" w15:restartNumberingAfterBreak="0">
    <w:nsid w:val="73CA6EE8"/>
    <w:multiLevelType w:val="hybridMultilevel"/>
    <w:tmpl w:val="FA7E428A"/>
    <w:lvl w:ilvl="0" w:tplc="FCCCA8F4">
      <w:start w:val="1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78407E">
      <w:start w:val="5"/>
      <w:numFmt w:val="decimal"/>
      <w:lvlText w:val="%2."/>
      <w:lvlJc w:val="left"/>
      <w:pPr>
        <w:ind w:left="1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8EEC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A08DB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1AF57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F6A2E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405AE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A6EE6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727D5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3DA3484"/>
    <w:multiLevelType w:val="multilevel"/>
    <w:tmpl w:val="B61E0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lowerRoman"/>
      <w:lvlText w:val="(%4)"/>
      <w:lvlJc w:val="left"/>
      <w:pPr>
        <w:tabs>
          <w:tab w:val="num" w:pos="2880"/>
        </w:tabs>
        <w:ind w:left="288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5D70B9F"/>
    <w:multiLevelType w:val="multilevel"/>
    <w:tmpl w:val="96F820B0"/>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abstractNum w:abstractNumId="40" w15:restartNumberingAfterBreak="0">
    <w:nsid w:val="77AF53EF"/>
    <w:multiLevelType w:val="hybridMultilevel"/>
    <w:tmpl w:val="E20810C8"/>
    <w:lvl w:ilvl="0" w:tplc="13B66F44">
      <w:start w:val="1"/>
      <w:numFmt w:val="decimal"/>
      <w:lvlText w:val="(%1)"/>
      <w:lvlJc w:val="left"/>
      <w:pPr>
        <w:ind w:left="686" w:hanging="360"/>
      </w:pPr>
      <w:rPr>
        <w:rFonts w:hint="default"/>
        <w:b/>
      </w:rPr>
    </w:lvl>
    <w:lvl w:ilvl="1" w:tplc="08090019" w:tentative="1">
      <w:start w:val="1"/>
      <w:numFmt w:val="lowerLetter"/>
      <w:lvlText w:val="%2."/>
      <w:lvlJc w:val="left"/>
      <w:pPr>
        <w:ind w:left="1406" w:hanging="360"/>
      </w:pPr>
    </w:lvl>
    <w:lvl w:ilvl="2" w:tplc="0809001B" w:tentative="1">
      <w:start w:val="1"/>
      <w:numFmt w:val="lowerRoman"/>
      <w:lvlText w:val="%3."/>
      <w:lvlJc w:val="right"/>
      <w:pPr>
        <w:ind w:left="2126" w:hanging="180"/>
      </w:pPr>
    </w:lvl>
    <w:lvl w:ilvl="3" w:tplc="0809000F" w:tentative="1">
      <w:start w:val="1"/>
      <w:numFmt w:val="decimal"/>
      <w:lvlText w:val="%4."/>
      <w:lvlJc w:val="left"/>
      <w:pPr>
        <w:ind w:left="2846" w:hanging="360"/>
      </w:pPr>
    </w:lvl>
    <w:lvl w:ilvl="4" w:tplc="08090019" w:tentative="1">
      <w:start w:val="1"/>
      <w:numFmt w:val="lowerLetter"/>
      <w:lvlText w:val="%5."/>
      <w:lvlJc w:val="left"/>
      <w:pPr>
        <w:ind w:left="3566" w:hanging="360"/>
      </w:pPr>
    </w:lvl>
    <w:lvl w:ilvl="5" w:tplc="0809001B" w:tentative="1">
      <w:start w:val="1"/>
      <w:numFmt w:val="lowerRoman"/>
      <w:lvlText w:val="%6."/>
      <w:lvlJc w:val="right"/>
      <w:pPr>
        <w:ind w:left="4286" w:hanging="180"/>
      </w:pPr>
    </w:lvl>
    <w:lvl w:ilvl="6" w:tplc="0809000F" w:tentative="1">
      <w:start w:val="1"/>
      <w:numFmt w:val="decimal"/>
      <w:lvlText w:val="%7."/>
      <w:lvlJc w:val="left"/>
      <w:pPr>
        <w:ind w:left="5006" w:hanging="360"/>
      </w:pPr>
    </w:lvl>
    <w:lvl w:ilvl="7" w:tplc="08090019" w:tentative="1">
      <w:start w:val="1"/>
      <w:numFmt w:val="lowerLetter"/>
      <w:lvlText w:val="%8."/>
      <w:lvlJc w:val="left"/>
      <w:pPr>
        <w:ind w:left="5726" w:hanging="360"/>
      </w:pPr>
    </w:lvl>
    <w:lvl w:ilvl="8" w:tplc="0809001B" w:tentative="1">
      <w:start w:val="1"/>
      <w:numFmt w:val="lowerRoman"/>
      <w:lvlText w:val="%9."/>
      <w:lvlJc w:val="right"/>
      <w:pPr>
        <w:ind w:left="6446" w:hanging="180"/>
      </w:pPr>
    </w:lvl>
  </w:abstractNum>
  <w:num w:numId="1" w16cid:durableId="952634608">
    <w:abstractNumId w:val="39"/>
  </w:num>
  <w:num w:numId="2" w16cid:durableId="417799646">
    <w:abstractNumId w:val="39"/>
  </w:num>
  <w:num w:numId="3" w16cid:durableId="773983195">
    <w:abstractNumId w:val="39"/>
  </w:num>
  <w:num w:numId="4" w16cid:durableId="2030250738">
    <w:abstractNumId w:val="39"/>
  </w:num>
  <w:num w:numId="5" w16cid:durableId="374737478">
    <w:abstractNumId w:val="39"/>
  </w:num>
  <w:num w:numId="6" w16cid:durableId="116410285">
    <w:abstractNumId w:val="39"/>
  </w:num>
  <w:num w:numId="7" w16cid:durableId="223493331">
    <w:abstractNumId w:val="39"/>
  </w:num>
  <w:num w:numId="8" w16cid:durableId="1310554658">
    <w:abstractNumId w:val="39"/>
  </w:num>
  <w:num w:numId="9" w16cid:durableId="2088728184">
    <w:abstractNumId w:val="39"/>
  </w:num>
  <w:num w:numId="10" w16cid:durableId="1257208671">
    <w:abstractNumId w:val="0"/>
  </w:num>
  <w:num w:numId="11" w16cid:durableId="316690900">
    <w:abstractNumId w:val="5"/>
  </w:num>
  <w:num w:numId="12" w16cid:durableId="956722505">
    <w:abstractNumId w:val="16"/>
  </w:num>
  <w:num w:numId="13" w16cid:durableId="1123227934">
    <w:abstractNumId w:val="36"/>
  </w:num>
  <w:num w:numId="14" w16cid:durableId="418210534">
    <w:abstractNumId w:val="19"/>
  </w:num>
  <w:num w:numId="15" w16cid:durableId="272858153">
    <w:abstractNumId w:val="38"/>
  </w:num>
  <w:num w:numId="16" w16cid:durableId="539590224">
    <w:abstractNumId w:val="28"/>
  </w:num>
  <w:num w:numId="17" w16cid:durableId="1856848775">
    <w:abstractNumId w:val="10"/>
  </w:num>
  <w:num w:numId="18" w16cid:durableId="1054768412">
    <w:abstractNumId w:val="25"/>
  </w:num>
  <w:num w:numId="19" w16cid:durableId="1090783784">
    <w:abstractNumId w:val="4"/>
  </w:num>
  <w:num w:numId="20" w16cid:durableId="1724058887">
    <w:abstractNumId w:val="8"/>
  </w:num>
  <w:num w:numId="21" w16cid:durableId="54747350">
    <w:abstractNumId w:val="35"/>
  </w:num>
  <w:num w:numId="22" w16cid:durableId="1474101909">
    <w:abstractNumId w:val="9"/>
  </w:num>
  <w:num w:numId="23" w16cid:durableId="611401644">
    <w:abstractNumId w:val="18"/>
  </w:num>
  <w:num w:numId="24" w16cid:durableId="880752857">
    <w:abstractNumId w:val="13"/>
  </w:num>
  <w:num w:numId="25" w16cid:durableId="1388649498">
    <w:abstractNumId w:val="29"/>
  </w:num>
  <w:num w:numId="26" w16cid:durableId="870411131">
    <w:abstractNumId w:val="6"/>
  </w:num>
  <w:num w:numId="27" w16cid:durableId="229924593">
    <w:abstractNumId w:val="26"/>
  </w:num>
  <w:num w:numId="28" w16cid:durableId="1255747951">
    <w:abstractNumId w:val="30"/>
  </w:num>
  <w:num w:numId="29" w16cid:durableId="256208458">
    <w:abstractNumId w:val="33"/>
  </w:num>
  <w:num w:numId="30" w16cid:durableId="1076054815">
    <w:abstractNumId w:val="2"/>
  </w:num>
  <w:num w:numId="31" w16cid:durableId="2038700905">
    <w:abstractNumId w:val="11"/>
  </w:num>
  <w:num w:numId="32" w16cid:durableId="2120683306">
    <w:abstractNumId w:val="32"/>
  </w:num>
  <w:num w:numId="33" w16cid:durableId="215825822">
    <w:abstractNumId w:val="24"/>
  </w:num>
  <w:num w:numId="34" w16cid:durableId="1974821820">
    <w:abstractNumId w:val="12"/>
  </w:num>
  <w:num w:numId="35" w16cid:durableId="1860315369">
    <w:abstractNumId w:val="17"/>
  </w:num>
  <w:num w:numId="36" w16cid:durableId="1538353510">
    <w:abstractNumId w:val="27"/>
  </w:num>
  <w:num w:numId="37" w16cid:durableId="673453572">
    <w:abstractNumId w:val="37"/>
  </w:num>
  <w:num w:numId="38" w16cid:durableId="393741256">
    <w:abstractNumId w:val="15"/>
  </w:num>
  <w:num w:numId="39" w16cid:durableId="1157267341">
    <w:abstractNumId w:val="34"/>
  </w:num>
  <w:num w:numId="40" w16cid:durableId="185872508">
    <w:abstractNumId w:val="31"/>
  </w:num>
  <w:num w:numId="41" w16cid:durableId="1504927775">
    <w:abstractNumId w:val="20"/>
  </w:num>
  <w:num w:numId="42" w16cid:durableId="869757752">
    <w:abstractNumId w:val="22"/>
  </w:num>
  <w:num w:numId="43" w16cid:durableId="1098016255">
    <w:abstractNumId w:val="14"/>
  </w:num>
  <w:num w:numId="44" w16cid:durableId="1574193526">
    <w:abstractNumId w:val="40"/>
  </w:num>
  <w:num w:numId="45" w16cid:durableId="796606229">
    <w:abstractNumId w:val="23"/>
  </w:num>
  <w:num w:numId="46" w16cid:durableId="737826364">
    <w:abstractNumId w:val="3"/>
  </w:num>
  <w:num w:numId="47" w16cid:durableId="3174160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68068303">
    <w:abstractNumId w:val="1"/>
  </w:num>
  <w:num w:numId="49" w16cid:durableId="7943269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798"/>
    <w:rsid w:val="000005AA"/>
    <w:rsid w:val="00000BD4"/>
    <w:rsid w:val="00001055"/>
    <w:rsid w:val="00002188"/>
    <w:rsid w:val="000025AD"/>
    <w:rsid w:val="000031D3"/>
    <w:rsid w:val="00003FC7"/>
    <w:rsid w:val="00004137"/>
    <w:rsid w:val="00004536"/>
    <w:rsid w:val="00005489"/>
    <w:rsid w:val="000055E9"/>
    <w:rsid w:val="00005F27"/>
    <w:rsid w:val="000062CB"/>
    <w:rsid w:val="0000767A"/>
    <w:rsid w:val="00007FEE"/>
    <w:rsid w:val="00012236"/>
    <w:rsid w:val="000126E6"/>
    <w:rsid w:val="00012CE3"/>
    <w:rsid w:val="00012CFD"/>
    <w:rsid w:val="00012EF9"/>
    <w:rsid w:val="00013ACD"/>
    <w:rsid w:val="00013B16"/>
    <w:rsid w:val="00014799"/>
    <w:rsid w:val="00016192"/>
    <w:rsid w:val="00016A70"/>
    <w:rsid w:val="00016F7F"/>
    <w:rsid w:val="00017122"/>
    <w:rsid w:val="00017FB3"/>
    <w:rsid w:val="00017FF4"/>
    <w:rsid w:val="00020190"/>
    <w:rsid w:val="000208DE"/>
    <w:rsid w:val="00020931"/>
    <w:rsid w:val="00021B34"/>
    <w:rsid w:val="00023C20"/>
    <w:rsid w:val="00023E0C"/>
    <w:rsid w:val="00023E95"/>
    <w:rsid w:val="00024D5A"/>
    <w:rsid w:val="00030275"/>
    <w:rsid w:val="0003095A"/>
    <w:rsid w:val="00031394"/>
    <w:rsid w:val="00032E40"/>
    <w:rsid w:val="00032EDF"/>
    <w:rsid w:val="00033108"/>
    <w:rsid w:val="00033591"/>
    <w:rsid w:val="00033700"/>
    <w:rsid w:val="00033991"/>
    <w:rsid w:val="00033E63"/>
    <w:rsid w:val="0003419A"/>
    <w:rsid w:val="00034696"/>
    <w:rsid w:val="00034E57"/>
    <w:rsid w:val="00037298"/>
    <w:rsid w:val="000374E4"/>
    <w:rsid w:val="000377F2"/>
    <w:rsid w:val="00040128"/>
    <w:rsid w:val="000406CD"/>
    <w:rsid w:val="000410A0"/>
    <w:rsid w:val="000412C8"/>
    <w:rsid w:val="000413F0"/>
    <w:rsid w:val="000418FB"/>
    <w:rsid w:val="00041940"/>
    <w:rsid w:val="00042159"/>
    <w:rsid w:val="00042612"/>
    <w:rsid w:val="00042F93"/>
    <w:rsid w:val="00043719"/>
    <w:rsid w:val="00044171"/>
    <w:rsid w:val="00044648"/>
    <w:rsid w:val="00045BB9"/>
    <w:rsid w:val="0004670E"/>
    <w:rsid w:val="00046FEE"/>
    <w:rsid w:val="00047FA3"/>
    <w:rsid w:val="000509F4"/>
    <w:rsid w:val="000510D6"/>
    <w:rsid w:val="00051E6C"/>
    <w:rsid w:val="00052564"/>
    <w:rsid w:val="000533BE"/>
    <w:rsid w:val="00053EF0"/>
    <w:rsid w:val="000544BD"/>
    <w:rsid w:val="000544D0"/>
    <w:rsid w:val="00054D20"/>
    <w:rsid w:val="00055D71"/>
    <w:rsid w:val="00056119"/>
    <w:rsid w:val="000565F4"/>
    <w:rsid w:val="00057309"/>
    <w:rsid w:val="000603EA"/>
    <w:rsid w:val="000609D4"/>
    <w:rsid w:val="00060AB6"/>
    <w:rsid w:val="00060FF5"/>
    <w:rsid w:val="00062A91"/>
    <w:rsid w:val="00063A10"/>
    <w:rsid w:val="00063A3F"/>
    <w:rsid w:val="00065833"/>
    <w:rsid w:val="00066051"/>
    <w:rsid w:val="000676B8"/>
    <w:rsid w:val="00067764"/>
    <w:rsid w:val="00067B23"/>
    <w:rsid w:val="00067BEA"/>
    <w:rsid w:val="00067E7C"/>
    <w:rsid w:val="00070585"/>
    <w:rsid w:val="00070971"/>
    <w:rsid w:val="00071A51"/>
    <w:rsid w:val="0007204B"/>
    <w:rsid w:val="0007308E"/>
    <w:rsid w:val="00073A59"/>
    <w:rsid w:val="00073B43"/>
    <w:rsid w:val="00074AD4"/>
    <w:rsid w:val="00077BE6"/>
    <w:rsid w:val="000804A7"/>
    <w:rsid w:val="000817DF"/>
    <w:rsid w:val="00081833"/>
    <w:rsid w:val="00082688"/>
    <w:rsid w:val="00083D5D"/>
    <w:rsid w:val="0008402A"/>
    <w:rsid w:val="00084133"/>
    <w:rsid w:val="00084251"/>
    <w:rsid w:val="000854F1"/>
    <w:rsid w:val="000861A3"/>
    <w:rsid w:val="00086B4B"/>
    <w:rsid w:val="000871A4"/>
    <w:rsid w:val="000873A6"/>
    <w:rsid w:val="000874D7"/>
    <w:rsid w:val="00090F3F"/>
    <w:rsid w:val="0009138E"/>
    <w:rsid w:val="00091853"/>
    <w:rsid w:val="000919DE"/>
    <w:rsid w:val="00091F22"/>
    <w:rsid w:val="00092267"/>
    <w:rsid w:val="00092945"/>
    <w:rsid w:val="000933EF"/>
    <w:rsid w:val="00094E3D"/>
    <w:rsid w:val="0009508B"/>
    <w:rsid w:val="000951C2"/>
    <w:rsid w:val="00095AC6"/>
    <w:rsid w:val="00095DF3"/>
    <w:rsid w:val="00096CE3"/>
    <w:rsid w:val="00097480"/>
    <w:rsid w:val="00097590"/>
    <w:rsid w:val="000975A3"/>
    <w:rsid w:val="000A0065"/>
    <w:rsid w:val="000A0393"/>
    <w:rsid w:val="000A05D7"/>
    <w:rsid w:val="000A0A68"/>
    <w:rsid w:val="000A1931"/>
    <w:rsid w:val="000A2285"/>
    <w:rsid w:val="000A2997"/>
    <w:rsid w:val="000A2AA3"/>
    <w:rsid w:val="000A2E65"/>
    <w:rsid w:val="000A301F"/>
    <w:rsid w:val="000A36A9"/>
    <w:rsid w:val="000A38B6"/>
    <w:rsid w:val="000A401C"/>
    <w:rsid w:val="000A4C46"/>
    <w:rsid w:val="000A549D"/>
    <w:rsid w:val="000A55F7"/>
    <w:rsid w:val="000A5BC8"/>
    <w:rsid w:val="000A6979"/>
    <w:rsid w:val="000A6D75"/>
    <w:rsid w:val="000A7586"/>
    <w:rsid w:val="000B0A3F"/>
    <w:rsid w:val="000B1513"/>
    <w:rsid w:val="000B33FF"/>
    <w:rsid w:val="000B4DB0"/>
    <w:rsid w:val="000B4F24"/>
    <w:rsid w:val="000B57A8"/>
    <w:rsid w:val="000B643E"/>
    <w:rsid w:val="000B6D23"/>
    <w:rsid w:val="000B71C3"/>
    <w:rsid w:val="000B7A0A"/>
    <w:rsid w:val="000B7D9E"/>
    <w:rsid w:val="000C07A6"/>
    <w:rsid w:val="000C0CE9"/>
    <w:rsid w:val="000C0F1D"/>
    <w:rsid w:val="000C156B"/>
    <w:rsid w:val="000C1BC3"/>
    <w:rsid w:val="000C1C62"/>
    <w:rsid w:val="000C2237"/>
    <w:rsid w:val="000C24FB"/>
    <w:rsid w:val="000C28FA"/>
    <w:rsid w:val="000C521B"/>
    <w:rsid w:val="000C52BC"/>
    <w:rsid w:val="000C555E"/>
    <w:rsid w:val="000C5A44"/>
    <w:rsid w:val="000C5C1F"/>
    <w:rsid w:val="000C5CC0"/>
    <w:rsid w:val="000C5CCF"/>
    <w:rsid w:val="000C5EB2"/>
    <w:rsid w:val="000C61CC"/>
    <w:rsid w:val="000C639B"/>
    <w:rsid w:val="000C6EA0"/>
    <w:rsid w:val="000C6F46"/>
    <w:rsid w:val="000C7214"/>
    <w:rsid w:val="000C7677"/>
    <w:rsid w:val="000D03E3"/>
    <w:rsid w:val="000D06D9"/>
    <w:rsid w:val="000D09B0"/>
    <w:rsid w:val="000D1B22"/>
    <w:rsid w:val="000D2355"/>
    <w:rsid w:val="000D483F"/>
    <w:rsid w:val="000D4AAF"/>
    <w:rsid w:val="000D4C28"/>
    <w:rsid w:val="000D54CB"/>
    <w:rsid w:val="000D61AA"/>
    <w:rsid w:val="000D6731"/>
    <w:rsid w:val="000D7377"/>
    <w:rsid w:val="000D7583"/>
    <w:rsid w:val="000D7735"/>
    <w:rsid w:val="000D7B8B"/>
    <w:rsid w:val="000D7E4E"/>
    <w:rsid w:val="000D7EF5"/>
    <w:rsid w:val="000E0353"/>
    <w:rsid w:val="000E085C"/>
    <w:rsid w:val="000E0A4E"/>
    <w:rsid w:val="000E10B0"/>
    <w:rsid w:val="000E194F"/>
    <w:rsid w:val="000E1BEA"/>
    <w:rsid w:val="000E1DFF"/>
    <w:rsid w:val="000E2EFF"/>
    <w:rsid w:val="000E30B0"/>
    <w:rsid w:val="000E33D7"/>
    <w:rsid w:val="000E455D"/>
    <w:rsid w:val="000E5362"/>
    <w:rsid w:val="000E610E"/>
    <w:rsid w:val="000E7BCD"/>
    <w:rsid w:val="000E7CCB"/>
    <w:rsid w:val="000E7E65"/>
    <w:rsid w:val="000F13EA"/>
    <w:rsid w:val="000F15DE"/>
    <w:rsid w:val="000F1FAD"/>
    <w:rsid w:val="000F3EA5"/>
    <w:rsid w:val="000F4525"/>
    <w:rsid w:val="000F5C64"/>
    <w:rsid w:val="000F6B7A"/>
    <w:rsid w:val="000F72F0"/>
    <w:rsid w:val="000F7910"/>
    <w:rsid w:val="001001A4"/>
    <w:rsid w:val="00100404"/>
    <w:rsid w:val="001017C9"/>
    <w:rsid w:val="001021E7"/>
    <w:rsid w:val="0010230F"/>
    <w:rsid w:val="0010337A"/>
    <w:rsid w:val="001052E8"/>
    <w:rsid w:val="00106F42"/>
    <w:rsid w:val="001071C4"/>
    <w:rsid w:val="001077C3"/>
    <w:rsid w:val="00110509"/>
    <w:rsid w:val="001108AC"/>
    <w:rsid w:val="00110D15"/>
    <w:rsid w:val="00111E3A"/>
    <w:rsid w:val="00113407"/>
    <w:rsid w:val="0011391C"/>
    <w:rsid w:val="00113E08"/>
    <w:rsid w:val="00114376"/>
    <w:rsid w:val="00114449"/>
    <w:rsid w:val="00114BE8"/>
    <w:rsid w:val="0011630A"/>
    <w:rsid w:val="00116844"/>
    <w:rsid w:val="00120899"/>
    <w:rsid w:val="0012149B"/>
    <w:rsid w:val="00122DA0"/>
    <w:rsid w:val="001237ED"/>
    <w:rsid w:val="00123FF1"/>
    <w:rsid w:val="00124341"/>
    <w:rsid w:val="001258EF"/>
    <w:rsid w:val="00126B54"/>
    <w:rsid w:val="00126D86"/>
    <w:rsid w:val="00126E99"/>
    <w:rsid w:val="0012706C"/>
    <w:rsid w:val="001273AD"/>
    <w:rsid w:val="001302C9"/>
    <w:rsid w:val="00130960"/>
    <w:rsid w:val="001314FC"/>
    <w:rsid w:val="00132AA5"/>
    <w:rsid w:val="00132C01"/>
    <w:rsid w:val="001336A9"/>
    <w:rsid w:val="00134CA8"/>
    <w:rsid w:val="00135C80"/>
    <w:rsid w:val="00136999"/>
    <w:rsid w:val="001377A4"/>
    <w:rsid w:val="00141A0F"/>
    <w:rsid w:val="00142D2A"/>
    <w:rsid w:val="00142D34"/>
    <w:rsid w:val="001434BA"/>
    <w:rsid w:val="00143E55"/>
    <w:rsid w:val="00146BDD"/>
    <w:rsid w:val="00146C73"/>
    <w:rsid w:val="001472FC"/>
    <w:rsid w:val="0014745D"/>
    <w:rsid w:val="00147CF4"/>
    <w:rsid w:val="00150087"/>
    <w:rsid w:val="00150392"/>
    <w:rsid w:val="00151E13"/>
    <w:rsid w:val="00152168"/>
    <w:rsid w:val="00152635"/>
    <w:rsid w:val="001527BE"/>
    <w:rsid w:val="00152E65"/>
    <w:rsid w:val="001535E0"/>
    <w:rsid w:val="00155ECE"/>
    <w:rsid w:val="0015699C"/>
    <w:rsid w:val="00157861"/>
    <w:rsid w:val="00157D87"/>
    <w:rsid w:val="00157DE9"/>
    <w:rsid w:val="00157F0A"/>
    <w:rsid w:val="00160479"/>
    <w:rsid w:val="00160883"/>
    <w:rsid w:val="0016171F"/>
    <w:rsid w:val="001626B6"/>
    <w:rsid w:val="001628D4"/>
    <w:rsid w:val="001633F2"/>
    <w:rsid w:val="00163434"/>
    <w:rsid w:val="0016347A"/>
    <w:rsid w:val="001644CD"/>
    <w:rsid w:val="00164FF4"/>
    <w:rsid w:val="00165157"/>
    <w:rsid w:val="001652CE"/>
    <w:rsid w:val="001662EB"/>
    <w:rsid w:val="001664A1"/>
    <w:rsid w:val="00166CA4"/>
    <w:rsid w:val="00167039"/>
    <w:rsid w:val="0016720A"/>
    <w:rsid w:val="00170113"/>
    <w:rsid w:val="00170530"/>
    <w:rsid w:val="00171466"/>
    <w:rsid w:val="001717FC"/>
    <w:rsid w:val="00172932"/>
    <w:rsid w:val="00173349"/>
    <w:rsid w:val="001735A3"/>
    <w:rsid w:val="00173A37"/>
    <w:rsid w:val="001750BA"/>
    <w:rsid w:val="00175A20"/>
    <w:rsid w:val="00175C25"/>
    <w:rsid w:val="00175D56"/>
    <w:rsid w:val="0017678A"/>
    <w:rsid w:val="00176DFB"/>
    <w:rsid w:val="00180022"/>
    <w:rsid w:val="001813FF"/>
    <w:rsid w:val="0018176C"/>
    <w:rsid w:val="001820BA"/>
    <w:rsid w:val="001827DD"/>
    <w:rsid w:val="00182902"/>
    <w:rsid w:val="00182A07"/>
    <w:rsid w:val="00182B7D"/>
    <w:rsid w:val="00184DE1"/>
    <w:rsid w:val="001855D5"/>
    <w:rsid w:val="00185954"/>
    <w:rsid w:val="00186A72"/>
    <w:rsid w:val="0019039B"/>
    <w:rsid w:val="00190BC2"/>
    <w:rsid w:val="001921CB"/>
    <w:rsid w:val="0019398B"/>
    <w:rsid w:val="00193AE6"/>
    <w:rsid w:val="00194181"/>
    <w:rsid w:val="00194AB9"/>
    <w:rsid w:val="00195EA9"/>
    <w:rsid w:val="00196081"/>
    <w:rsid w:val="00197653"/>
    <w:rsid w:val="001A0259"/>
    <w:rsid w:val="001A049A"/>
    <w:rsid w:val="001A06AC"/>
    <w:rsid w:val="001A2665"/>
    <w:rsid w:val="001A2EB6"/>
    <w:rsid w:val="001A31BF"/>
    <w:rsid w:val="001A3F05"/>
    <w:rsid w:val="001A4A41"/>
    <w:rsid w:val="001A4B28"/>
    <w:rsid w:val="001A58FB"/>
    <w:rsid w:val="001A638C"/>
    <w:rsid w:val="001A65A0"/>
    <w:rsid w:val="001A69F6"/>
    <w:rsid w:val="001A6B83"/>
    <w:rsid w:val="001A7DE1"/>
    <w:rsid w:val="001A7F7D"/>
    <w:rsid w:val="001A7FDA"/>
    <w:rsid w:val="001B0024"/>
    <w:rsid w:val="001B1372"/>
    <w:rsid w:val="001B1F63"/>
    <w:rsid w:val="001B246E"/>
    <w:rsid w:val="001B2B93"/>
    <w:rsid w:val="001B332F"/>
    <w:rsid w:val="001B3773"/>
    <w:rsid w:val="001B4F3E"/>
    <w:rsid w:val="001B547F"/>
    <w:rsid w:val="001B563F"/>
    <w:rsid w:val="001B584C"/>
    <w:rsid w:val="001B5915"/>
    <w:rsid w:val="001B5B38"/>
    <w:rsid w:val="001B5B3A"/>
    <w:rsid w:val="001B60D4"/>
    <w:rsid w:val="001B63F1"/>
    <w:rsid w:val="001B6FAA"/>
    <w:rsid w:val="001B7349"/>
    <w:rsid w:val="001B73E9"/>
    <w:rsid w:val="001B7C86"/>
    <w:rsid w:val="001C03D1"/>
    <w:rsid w:val="001C0463"/>
    <w:rsid w:val="001C067C"/>
    <w:rsid w:val="001C0C1B"/>
    <w:rsid w:val="001C14DE"/>
    <w:rsid w:val="001C1EE8"/>
    <w:rsid w:val="001C2453"/>
    <w:rsid w:val="001C24F5"/>
    <w:rsid w:val="001C4589"/>
    <w:rsid w:val="001C4924"/>
    <w:rsid w:val="001C65C6"/>
    <w:rsid w:val="001C67B9"/>
    <w:rsid w:val="001C6964"/>
    <w:rsid w:val="001C69DB"/>
    <w:rsid w:val="001D0971"/>
    <w:rsid w:val="001D0D19"/>
    <w:rsid w:val="001D0E49"/>
    <w:rsid w:val="001D0F12"/>
    <w:rsid w:val="001D1273"/>
    <w:rsid w:val="001D128B"/>
    <w:rsid w:val="001D1604"/>
    <w:rsid w:val="001D1611"/>
    <w:rsid w:val="001D1616"/>
    <w:rsid w:val="001D19A3"/>
    <w:rsid w:val="001D3DC6"/>
    <w:rsid w:val="001D4310"/>
    <w:rsid w:val="001D4459"/>
    <w:rsid w:val="001D4791"/>
    <w:rsid w:val="001D491D"/>
    <w:rsid w:val="001D49FB"/>
    <w:rsid w:val="001D5491"/>
    <w:rsid w:val="001D59B6"/>
    <w:rsid w:val="001D605C"/>
    <w:rsid w:val="001D627E"/>
    <w:rsid w:val="001D65CB"/>
    <w:rsid w:val="001D6822"/>
    <w:rsid w:val="001D6B20"/>
    <w:rsid w:val="001D6C3C"/>
    <w:rsid w:val="001D6D52"/>
    <w:rsid w:val="001D7223"/>
    <w:rsid w:val="001E02BD"/>
    <w:rsid w:val="001E0595"/>
    <w:rsid w:val="001E0670"/>
    <w:rsid w:val="001E1F9D"/>
    <w:rsid w:val="001E2B8B"/>
    <w:rsid w:val="001E2DA3"/>
    <w:rsid w:val="001E32A9"/>
    <w:rsid w:val="001E3494"/>
    <w:rsid w:val="001E4D08"/>
    <w:rsid w:val="001E5E48"/>
    <w:rsid w:val="001E6DD3"/>
    <w:rsid w:val="001F1783"/>
    <w:rsid w:val="001F179C"/>
    <w:rsid w:val="001F2071"/>
    <w:rsid w:val="001F2B92"/>
    <w:rsid w:val="001F2E31"/>
    <w:rsid w:val="001F36D6"/>
    <w:rsid w:val="001F3DFB"/>
    <w:rsid w:val="001F42F3"/>
    <w:rsid w:val="001F4662"/>
    <w:rsid w:val="001F510C"/>
    <w:rsid w:val="001F5F48"/>
    <w:rsid w:val="001F6418"/>
    <w:rsid w:val="001F6A82"/>
    <w:rsid w:val="001F799E"/>
    <w:rsid w:val="0020014B"/>
    <w:rsid w:val="00200669"/>
    <w:rsid w:val="0020143D"/>
    <w:rsid w:val="00201941"/>
    <w:rsid w:val="00203216"/>
    <w:rsid w:val="00203DD9"/>
    <w:rsid w:val="002045FC"/>
    <w:rsid w:val="00204E1F"/>
    <w:rsid w:val="00205891"/>
    <w:rsid w:val="00205EB1"/>
    <w:rsid w:val="0020625A"/>
    <w:rsid w:val="00206958"/>
    <w:rsid w:val="00207369"/>
    <w:rsid w:val="002073F6"/>
    <w:rsid w:val="00207467"/>
    <w:rsid w:val="00207C7D"/>
    <w:rsid w:val="002101C2"/>
    <w:rsid w:val="00210AB2"/>
    <w:rsid w:val="00211A32"/>
    <w:rsid w:val="00212328"/>
    <w:rsid w:val="0021276C"/>
    <w:rsid w:val="00212848"/>
    <w:rsid w:val="00213217"/>
    <w:rsid w:val="00213637"/>
    <w:rsid w:val="00213657"/>
    <w:rsid w:val="00213FA0"/>
    <w:rsid w:val="0021435E"/>
    <w:rsid w:val="002168C4"/>
    <w:rsid w:val="002169A9"/>
    <w:rsid w:val="00217E34"/>
    <w:rsid w:val="00221790"/>
    <w:rsid w:val="00221901"/>
    <w:rsid w:val="00222216"/>
    <w:rsid w:val="002223B3"/>
    <w:rsid w:val="002227F0"/>
    <w:rsid w:val="00222CB2"/>
    <w:rsid w:val="00224BF6"/>
    <w:rsid w:val="002255C2"/>
    <w:rsid w:val="0022567C"/>
    <w:rsid w:val="00225801"/>
    <w:rsid w:val="00225982"/>
    <w:rsid w:val="0022708C"/>
    <w:rsid w:val="00230495"/>
    <w:rsid w:val="00231139"/>
    <w:rsid w:val="0023158E"/>
    <w:rsid w:val="00232242"/>
    <w:rsid w:val="00232E2F"/>
    <w:rsid w:val="0023372C"/>
    <w:rsid w:val="00233941"/>
    <w:rsid w:val="00234C35"/>
    <w:rsid w:val="0023531B"/>
    <w:rsid w:val="00235E1B"/>
    <w:rsid w:val="002366D4"/>
    <w:rsid w:val="00236E99"/>
    <w:rsid w:val="00237888"/>
    <w:rsid w:val="00240360"/>
    <w:rsid w:val="00240683"/>
    <w:rsid w:val="00240A5D"/>
    <w:rsid w:val="00240A84"/>
    <w:rsid w:val="00241C82"/>
    <w:rsid w:val="00242054"/>
    <w:rsid w:val="0024233B"/>
    <w:rsid w:val="00242460"/>
    <w:rsid w:val="0024265A"/>
    <w:rsid w:val="00242831"/>
    <w:rsid w:val="00242AA1"/>
    <w:rsid w:val="0024322E"/>
    <w:rsid w:val="00243A53"/>
    <w:rsid w:val="002456C5"/>
    <w:rsid w:val="00246308"/>
    <w:rsid w:val="0024656A"/>
    <w:rsid w:val="00246852"/>
    <w:rsid w:val="00246ACD"/>
    <w:rsid w:val="00246B84"/>
    <w:rsid w:val="002478FB"/>
    <w:rsid w:val="002504A2"/>
    <w:rsid w:val="00251051"/>
    <w:rsid w:val="002514B1"/>
    <w:rsid w:val="00251C5E"/>
    <w:rsid w:val="00252CB1"/>
    <w:rsid w:val="00253B89"/>
    <w:rsid w:val="00255C25"/>
    <w:rsid w:val="00256565"/>
    <w:rsid w:val="0025744D"/>
    <w:rsid w:val="0025771D"/>
    <w:rsid w:val="00257D6D"/>
    <w:rsid w:val="00260096"/>
    <w:rsid w:val="00260AC8"/>
    <w:rsid w:val="00260DC4"/>
    <w:rsid w:val="00260FBE"/>
    <w:rsid w:val="00261002"/>
    <w:rsid w:val="002616A0"/>
    <w:rsid w:val="00261ACE"/>
    <w:rsid w:val="00261CBF"/>
    <w:rsid w:val="00261D17"/>
    <w:rsid w:val="002628C5"/>
    <w:rsid w:val="00262A2B"/>
    <w:rsid w:val="00264001"/>
    <w:rsid w:val="002643A1"/>
    <w:rsid w:val="00266317"/>
    <w:rsid w:val="002665AE"/>
    <w:rsid w:val="002675F3"/>
    <w:rsid w:val="00267CE3"/>
    <w:rsid w:val="00267F19"/>
    <w:rsid w:val="00270152"/>
    <w:rsid w:val="002704B3"/>
    <w:rsid w:val="002705D0"/>
    <w:rsid w:val="002706D3"/>
    <w:rsid w:val="00270C4F"/>
    <w:rsid w:val="00270E76"/>
    <w:rsid w:val="002716BA"/>
    <w:rsid w:val="00271FD3"/>
    <w:rsid w:val="00272FB0"/>
    <w:rsid w:val="0027306E"/>
    <w:rsid w:val="0027383E"/>
    <w:rsid w:val="00273983"/>
    <w:rsid w:val="0027493F"/>
    <w:rsid w:val="002755EA"/>
    <w:rsid w:val="00275625"/>
    <w:rsid w:val="002759B7"/>
    <w:rsid w:val="00275FE6"/>
    <w:rsid w:val="0027654F"/>
    <w:rsid w:val="00276EE7"/>
    <w:rsid w:val="002775F6"/>
    <w:rsid w:val="002801E2"/>
    <w:rsid w:val="002805C9"/>
    <w:rsid w:val="00280F4C"/>
    <w:rsid w:val="0028123C"/>
    <w:rsid w:val="00281374"/>
    <w:rsid w:val="0028166C"/>
    <w:rsid w:val="002816A9"/>
    <w:rsid w:val="002816B6"/>
    <w:rsid w:val="00281B40"/>
    <w:rsid w:val="00283681"/>
    <w:rsid w:val="00283A9A"/>
    <w:rsid w:val="00283F3F"/>
    <w:rsid w:val="00284223"/>
    <w:rsid w:val="0028457E"/>
    <w:rsid w:val="00284A2C"/>
    <w:rsid w:val="002857B1"/>
    <w:rsid w:val="0028617A"/>
    <w:rsid w:val="00286CA8"/>
    <w:rsid w:val="0028763B"/>
    <w:rsid w:val="00287F38"/>
    <w:rsid w:val="00290C28"/>
    <w:rsid w:val="00290D52"/>
    <w:rsid w:val="00290EEF"/>
    <w:rsid w:val="00290F80"/>
    <w:rsid w:val="00291949"/>
    <w:rsid w:val="00291F29"/>
    <w:rsid w:val="00292E52"/>
    <w:rsid w:val="002933A1"/>
    <w:rsid w:val="00293F11"/>
    <w:rsid w:val="0029485C"/>
    <w:rsid w:val="00294A93"/>
    <w:rsid w:val="00295801"/>
    <w:rsid w:val="00296D09"/>
    <w:rsid w:val="002977D0"/>
    <w:rsid w:val="00297CD2"/>
    <w:rsid w:val="002A13EB"/>
    <w:rsid w:val="002A1DBF"/>
    <w:rsid w:val="002A1FB4"/>
    <w:rsid w:val="002A252B"/>
    <w:rsid w:val="002A3CCB"/>
    <w:rsid w:val="002A4CAC"/>
    <w:rsid w:val="002A5123"/>
    <w:rsid w:val="002A512B"/>
    <w:rsid w:val="002A5F59"/>
    <w:rsid w:val="002B0682"/>
    <w:rsid w:val="002B0FDC"/>
    <w:rsid w:val="002B100D"/>
    <w:rsid w:val="002B1C43"/>
    <w:rsid w:val="002B2B35"/>
    <w:rsid w:val="002B2DA3"/>
    <w:rsid w:val="002B2F7D"/>
    <w:rsid w:val="002B3B11"/>
    <w:rsid w:val="002B49D0"/>
    <w:rsid w:val="002B4CB5"/>
    <w:rsid w:val="002B57C9"/>
    <w:rsid w:val="002B5B57"/>
    <w:rsid w:val="002B5DE7"/>
    <w:rsid w:val="002B6AAD"/>
    <w:rsid w:val="002B6C5F"/>
    <w:rsid w:val="002B6FE2"/>
    <w:rsid w:val="002B7877"/>
    <w:rsid w:val="002C09DD"/>
    <w:rsid w:val="002C151B"/>
    <w:rsid w:val="002C2B01"/>
    <w:rsid w:val="002C2DB5"/>
    <w:rsid w:val="002C2EBF"/>
    <w:rsid w:val="002C383F"/>
    <w:rsid w:val="002C4164"/>
    <w:rsid w:val="002C4264"/>
    <w:rsid w:val="002C4546"/>
    <w:rsid w:val="002C4629"/>
    <w:rsid w:val="002C5B96"/>
    <w:rsid w:val="002C7E07"/>
    <w:rsid w:val="002D0862"/>
    <w:rsid w:val="002D1404"/>
    <w:rsid w:val="002D23BB"/>
    <w:rsid w:val="002D2929"/>
    <w:rsid w:val="002D3139"/>
    <w:rsid w:val="002D36AF"/>
    <w:rsid w:val="002D3759"/>
    <w:rsid w:val="002D390A"/>
    <w:rsid w:val="002D4852"/>
    <w:rsid w:val="002D4B5D"/>
    <w:rsid w:val="002D4D42"/>
    <w:rsid w:val="002D5B62"/>
    <w:rsid w:val="002D5C73"/>
    <w:rsid w:val="002D614A"/>
    <w:rsid w:val="002D6604"/>
    <w:rsid w:val="002D6A41"/>
    <w:rsid w:val="002D6A56"/>
    <w:rsid w:val="002E09F8"/>
    <w:rsid w:val="002E0EDD"/>
    <w:rsid w:val="002E19D1"/>
    <w:rsid w:val="002E1B41"/>
    <w:rsid w:val="002E2920"/>
    <w:rsid w:val="002E44FE"/>
    <w:rsid w:val="002E5926"/>
    <w:rsid w:val="002E6481"/>
    <w:rsid w:val="002E66E5"/>
    <w:rsid w:val="002E6B74"/>
    <w:rsid w:val="002E718C"/>
    <w:rsid w:val="002E742F"/>
    <w:rsid w:val="002E7668"/>
    <w:rsid w:val="002E79C2"/>
    <w:rsid w:val="002F06C6"/>
    <w:rsid w:val="002F0A45"/>
    <w:rsid w:val="002F10CB"/>
    <w:rsid w:val="002F1BDE"/>
    <w:rsid w:val="002F1CCF"/>
    <w:rsid w:val="002F2602"/>
    <w:rsid w:val="002F355F"/>
    <w:rsid w:val="002F39C3"/>
    <w:rsid w:val="002F3E01"/>
    <w:rsid w:val="002F578D"/>
    <w:rsid w:val="002F65C6"/>
    <w:rsid w:val="002F75F5"/>
    <w:rsid w:val="002F7E5D"/>
    <w:rsid w:val="00300908"/>
    <w:rsid w:val="0030128D"/>
    <w:rsid w:val="00301936"/>
    <w:rsid w:val="00301D56"/>
    <w:rsid w:val="00301D5B"/>
    <w:rsid w:val="00302CA1"/>
    <w:rsid w:val="00303C0A"/>
    <w:rsid w:val="00303E8C"/>
    <w:rsid w:val="003041D1"/>
    <w:rsid w:val="00304238"/>
    <w:rsid w:val="003052A6"/>
    <w:rsid w:val="003067C3"/>
    <w:rsid w:val="003106F2"/>
    <w:rsid w:val="00310D8D"/>
    <w:rsid w:val="00311331"/>
    <w:rsid w:val="0031172A"/>
    <w:rsid w:val="003117EB"/>
    <w:rsid w:val="00311811"/>
    <w:rsid w:val="00311F08"/>
    <w:rsid w:val="003128E8"/>
    <w:rsid w:val="00312A9A"/>
    <w:rsid w:val="00313196"/>
    <w:rsid w:val="00313FF6"/>
    <w:rsid w:val="003140D9"/>
    <w:rsid w:val="00314415"/>
    <w:rsid w:val="00314585"/>
    <w:rsid w:val="0031582F"/>
    <w:rsid w:val="003162E9"/>
    <w:rsid w:val="00317B3E"/>
    <w:rsid w:val="003205F7"/>
    <w:rsid w:val="00321194"/>
    <w:rsid w:val="003218E1"/>
    <w:rsid w:val="00321DEC"/>
    <w:rsid w:val="003225FF"/>
    <w:rsid w:val="003227F9"/>
    <w:rsid w:val="003231CE"/>
    <w:rsid w:val="0032332C"/>
    <w:rsid w:val="00323AE4"/>
    <w:rsid w:val="0032685A"/>
    <w:rsid w:val="00326FA9"/>
    <w:rsid w:val="0032719D"/>
    <w:rsid w:val="0032726A"/>
    <w:rsid w:val="0033038F"/>
    <w:rsid w:val="00331E58"/>
    <w:rsid w:val="00332D60"/>
    <w:rsid w:val="00332E85"/>
    <w:rsid w:val="003333A6"/>
    <w:rsid w:val="003337BF"/>
    <w:rsid w:val="00333FBF"/>
    <w:rsid w:val="00333FEE"/>
    <w:rsid w:val="003356DB"/>
    <w:rsid w:val="0033593C"/>
    <w:rsid w:val="00337879"/>
    <w:rsid w:val="003379DF"/>
    <w:rsid w:val="0034045B"/>
    <w:rsid w:val="003408A5"/>
    <w:rsid w:val="00340C33"/>
    <w:rsid w:val="00341414"/>
    <w:rsid w:val="0034141A"/>
    <w:rsid w:val="00341FCA"/>
    <w:rsid w:val="00341FDC"/>
    <w:rsid w:val="00342AAF"/>
    <w:rsid w:val="00342D04"/>
    <w:rsid w:val="003438FF"/>
    <w:rsid w:val="00343974"/>
    <w:rsid w:val="00344A87"/>
    <w:rsid w:val="00346652"/>
    <w:rsid w:val="00347057"/>
    <w:rsid w:val="00347DE4"/>
    <w:rsid w:val="00350BD2"/>
    <w:rsid w:val="003518B6"/>
    <w:rsid w:val="00351E4D"/>
    <w:rsid w:val="0035263C"/>
    <w:rsid w:val="003529DF"/>
    <w:rsid w:val="00352A3F"/>
    <w:rsid w:val="00353DD1"/>
    <w:rsid w:val="00355745"/>
    <w:rsid w:val="00355969"/>
    <w:rsid w:val="00356B46"/>
    <w:rsid w:val="003574F1"/>
    <w:rsid w:val="00357BA4"/>
    <w:rsid w:val="003607AD"/>
    <w:rsid w:val="00360B90"/>
    <w:rsid w:val="00361E47"/>
    <w:rsid w:val="0036286A"/>
    <w:rsid w:val="003629BF"/>
    <w:rsid w:val="00363457"/>
    <w:rsid w:val="00363B76"/>
    <w:rsid w:val="00363C72"/>
    <w:rsid w:val="003642A4"/>
    <w:rsid w:val="0036480F"/>
    <w:rsid w:val="00365153"/>
    <w:rsid w:val="0036553D"/>
    <w:rsid w:val="003657C5"/>
    <w:rsid w:val="00365ABB"/>
    <w:rsid w:val="00365D43"/>
    <w:rsid w:val="00367643"/>
    <w:rsid w:val="00367F9B"/>
    <w:rsid w:val="003712AF"/>
    <w:rsid w:val="00371815"/>
    <w:rsid w:val="00373655"/>
    <w:rsid w:val="00373C78"/>
    <w:rsid w:val="00373FEE"/>
    <w:rsid w:val="00374525"/>
    <w:rsid w:val="00375518"/>
    <w:rsid w:val="00375AA9"/>
    <w:rsid w:val="00375B91"/>
    <w:rsid w:val="00375BFA"/>
    <w:rsid w:val="0037722C"/>
    <w:rsid w:val="00377936"/>
    <w:rsid w:val="0038022A"/>
    <w:rsid w:val="003803C8"/>
    <w:rsid w:val="003820A7"/>
    <w:rsid w:val="0038272D"/>
    <w:rsid w:val="003842AB"/>
    <w:rsid w:val="00385173"/>
    <w:rsid w:val="003854B7"/>
    <w:rsid w:val="00385903"/>
    <w:rsid w:val="003864E9"/>
    <w:rsid w:val="00386F7E"/>
    <w:rsid w:val="00392C43"/>
    <w:rsid w:val="003930BF"/>
    <w:rsid w:val="00393275"/>
    <w:rsid w:val="00393B28"/>
    <w:rsid w:val="00394487"/>
    <w:rsid w:val="00395615"/>
    <w:rsid w:val="00395B2C"/>
    <w:rsid w:val="00395CC6"/>
    <w:rsid w:val="003961E8"/>
    <w:rsid w:val="00396373"/>
    <w:rsid w:val="00396ED0"/>
    <w:rsid w:val="003971E4"/>
    <w:rsid w:val="00397BBE"/>
    <w:rsid w:val="00397D5A"/>
    <w:rsid w:val="00397F36"/>
    <w:rsid w:val="003A19D0"/>
    <w:rsid w:val="003A343E"/>
    <w:rsid w:val="003A3880"/>
    <w:rsid w:val="003A44F4"/>
    <w:rsid w:val="003A484F"/>
    <w:rsid w:val="003A60F1"/>
    <w:rsid w:val="003A6B9A"/>
    <w:rsid w:val="003A7347"/>
    <w:rsid w:val="003A75C4"/>
    <w:rsid w:val="003A7765"/>
    <w:rsid w:val="003A7A39"/>
    <w:rsid w:val="003B0009"/>
    <w:rsid w:val="003B017E"/>
    <w:rsid w:val="003B1289"/>
    <w:rsid w:val="003B12D0"/>
    <w:rsid w:val="003B3548"/>
    <w:rsid w:val="003B43FB"/>
    <w:rsid w:val="003B44E4"/>
    <w:rsid w:val="003B4C2F"/>
    <w:rsid w:val="003B4C58"/>
    <w:rsid w:val="003B4C7C"/>
    <w:rsid w:val="003B515A"/>
    <w:rsid w:val="003B5599"/>
    <w:rsid w:val="003B6062"/>
    <w:rsid w:val="003B644D"/>
    <w:rsid w:val="003B6501"/>
    <w:rsid w:val="003B6DC6"/>
    <w:rsid w:val="003B7490"/>
    <w:rsid w:val="003B7F71"/>
    <w:rsid w:val="003C0815"/>
    <w:rsid w:val="003C0820"/>
    <w:rsid w:val="003C0F69"/>
    <w:rsid w:val="003C1D6E"/>
    <w:rsid w:val="003C22C8"/>
    <w:rsid w:val="003C3620"/>
    <w:rsid w:val="003C3E33"/>
    <w:rsid w:val="003C4133"/>
    <w:rsid w:val="003C4423"/>
    <w:rsid w:val="003C4D42"/>
    <w:rsid w:val="003C4F7D"/>
    <w:rsid w:val="003C52A2"/>
    <w:rsid w:val="003C6CE1"/>
    <w:rsid w:val="003C74F1"/>
    <w:rsid w:val="003C7989"/>
    <w:rsid w:val="003C7A6D"/>
    <w:rsid w:val="003D0A7A"/>
    <w:rsid w:val="003D0CF2"/>
    <w:rsid w:val="003D141B"/>
    <w:rsid w:val="003D184F"/>
    <w:rsid w:val="003D21F4"/>
    <w:rsid w:val="003D2385"/>
    <w:rsid w:val="003D34CB"/>
    <w:rsid w:val="003D4488"/>
    <w:rsid w:val="003D5B78"/>
    <w:rsid w:val="003D68EC"/>
    <w:rsid w:val="003D7D1A"/>
    <w:rsid w:val="003E0161"/>
    <w:rsid w:val="003E03F7"/>
    <w:rsid w:val="003E0744"/>
    <w:rsid w:val="003E1C23"/>
    <w:rsid w:val="003E1FEE"/>
    <w:rsid w:val="003E21C8"/>
    <w:rsid w:val="003E2221"/>
    <w:rsid w:val="003E22F8"/>
    <w:rsid w:val="003E26B7"/>
    <w:rsid w:val="003E2727"/>
    <w:rsid w:val="003E291A"/>
    <w:rsid w:val="003E298A"/>
    <w:rsid w:val="003E2A59"/>
    <w:rsid w:val="003E310E"/>
    <w:rsid w:val="003E33B8"/>
    <w:rsid w:val="003E354A"/>
    <w:rsid w:val="003E3A78"/>
    <w:rsid w:val="003E4391"/>
    <w:rsid w:val="003E499D"/>
    <w:rsid w:val="003E52E7"/>
    <w:rsid w:val="003E55B1"/>
    <w:rsid w:val="003E63D6"/>
    <w:rsid w:val="003E6AC6"/>
    <w:rsid w:val="003E7902"/>
    <w:rsid w:val="003F0072"/>
    <w:rsid w:val="003F00CA"/>
    <w:rsid w:val="003F096E"/>
    <w:rsid w:val="003F0DBF"/>
    <w:rsid w:val="003F1033"/>
    <w:rsid w:val="003F1B3E"/>
    <w:rsid w:val="003F1B7E"/>
    <w:rsid w:val="003F1ECA"/>
    <w:rsid w:val="003F2968"/>
    <w:rsid w:val="003F3CDD"/>
    <w:rsid w:val="003F3F15"/>
    <w:rsid w:val="003F5745"/>
    <w:rsid w:val="003F72AB"/>
    <w:rsid w:val="0040037A"/>
    <w:rsid w:val="00400A6A"/>
    <w:rsid w:val="00401059"/>
    <w:rsid w:val="00401101"/>
    <w:rsid w:val="00401AAD"/>
    <w:rsid w:val="00401BA0"/>
    <w:rsid w:val="00402775"/>
    <w:rsid w:val="00403FF5"/>
    <w:rsid w:val="00404A25"/>
    <w:rsid w:val="00407669"/>
    <w:rsid w:val="00410ABA"/>
    <w:rsid w:val="00410BA6"/>
    <w:rsid w:val="00411254"/>
    <w:rsid w:val="0041141B"/>
    <w:rsid w:val="004133C1"/>
    <w:rsid w:val="00413552"/>
    <w:rsid w:val="0041460B"/>
    <w:rsid w:val="00414FBE"/>
    <w:rsid w:val="00415251"/>
    <w:rsid w:val="004157AB"/>
    <w:rsid w:val="00415A4E"/>
    <w:rsid w:val="004165F7"/>
    <w:rsid w:val="0041692A"/>
    <w:rsid w:val="00416C99"/>
    <w:rsid w:val="00417B10"/>
    <w:rsid w:val="00417F99"/>
    <w:rsid w:val="00423E5C"/>
    <w:rsid w:val="00426061"/>
    <w:rsid w:val="004261DB"/>
    <w:rsid w:val="00426EE2"/>
    <w:rsid w:val="0042745A"/>
    <w:rsid w:val="00427893"/>
    <w:rsid w:val="00427BCD"/>
    <w:rsid w:val="0043027F"/>
    <w:rsid w:val="00430DC6"/>
    <w:rsid w:val="004313AB"/>
    <w:rsid w:val="00432A2F"/>
    <w:rsid w:val="00432C7D"/>
    <w:rsid w:val="00433DDD"/>
    <w:rsid w:val="00434641"/>
    <w:rsid w:val="00435AEC"/>
    <w:rsid w:val="00435FA3"/>
    <w:rsid w:val="004360C0"/>
    <w:rsid w:val="00437280"/>
    <w:rsid w:val="004374C6"/>
    <w:rsid w:val="00437BF8"/>
    <w:rsid w:val="00437F80"/>
    <w:rsid w:val="0044009F"/>
    <w:rsid w:val="0044038F"/>
    <w:rsid w:val="00442010"/>
    <w:rsid w:val="004426F6"/>
    <w:rsid w:val="00442945"/>
    <w:rsid w:val="00442BE9"/>
    <w:rsid w:val="00443206"/>
    <w:rsid w:val="00443377"/>
    <w:rsid w:val="0044357F"/>
    <w:rsid w:val="00443DAC"/>
    <w:rsid w:val="00443FFA"/>
    <w:rsid w:val="004440DD"/>
    <w:rsid w:val="004445A2"/>
    <w:rsid w:val="00444B3D"/>
    <w:rsid w:val="004450D0"/>
    <w:rsid w:val="00445702"/>
    <w:rsid w:val="0044575B"/>
    <w:rsid w:val="00446925"/>
    <w:rsid w:val="004505D9"/>
    <w:rsid w:val="00450E42"/>
    <w:rsid w:val="00451CBB"/>
    <w:rsid w:val="00451CED"/>
    <w:rsid w:val="004524C9"/>
    <w:rsid w:val="00453EF1"/>
    <w:rsid w:val="004542BB"/>
    <w:rsid w:val="00454F37"/>
    <w:rsid w:val="00455120"/>
    <w:rsid w:val="004563B4"/>
    <w:rsid w:val="004565B7"/>
    <w:rsid w:val="00457554"/>
    <w:rsid w:val="00457633"/>
    <w:rsid w:val="00457C56"/>
    <w:rsid w:val="004607EA"/>
    <w:rsid w:val="00460D2A"/>
    <w:rsid w:val="00461D31"/>
    <w:rsid w:val="0046242D"/>
    <w:rsid w:val="004641A7"/>
    <w:rsid w:val="00464222"/>
    <w:rsid w:val="00464367"/>
    <w:rsid w:val="0046456E"/>
    <w:rsid w:val="0046477F"/>
    <w:rsid w:val="00464828"/>
    <w:rsid w:val="00464EBF"/>
    <w:rsid w:val="004654F2"/>
    <w:rsid w:val="0046584D"/>
    <w:rsid w:val="00467578"/>
    <w:rsid w:val="00470036"/>
    <w:rsid w:val="0047070F"/>
    <w:rsid w:val="00470ADD"/>
    <w:rsid w:val="00471934"/>
    <w:rsid w:val="00472510"/>
    <w:rsid w:val="0047264B"/>
    <w:rsid w:val="00472C79"/>
    <w:rsid w:val="00473767"/>
    <w:rsid w:val="00473909"/>
    <w:rsid w:val="00473BB8"/>
    <w:rsid w:val="00474176"/>
    <w:rsid w:val="00474607"/>
    <w:rsid w:val="0047501B"/>
    <w:rsid w:val="00475573"/>
    <w:rsid w:val="00475B43"/>
    <w:rsid w:val="00476503"/>
    <w:rsid w:val="00476D23"/>
    <w:rsid w:val="00476DCF"/>
    <w:rsid w:val="00476E7B"/>
    <w:rsid w:val="004773A7"/>
    <w:rsid w:val="00477E86"/>
    <w:rsid w:val="004807E4"/>
    <w:rsid w:val="00482C45"/>
    <w:rsid w:val="00483179"/>
    <w:rsid w:val="00483E88"/>
    <w:rsid w:val="00484C95"/>
    <w:rsid w:val="00486368"/>
    <w:rsid w:val="00486FF2"/>
    <w:rsid w:val="00487666"/>
    <w:rsid w:val="00487E35"/>
    <w:rsid w:val="00490A50"/>
    <w:rsid w:val="004917EA"/>
    <w:rsid w:val="00492022"/>
    <w:rsid w:val="004922A7"/>
    <w:rsid w:val="004923C9"/>
    <w:rsid w:val="00492D56"/>
    <w:rsid w:val="004932CA"/>
    <w:rsid w:val="0049371A"/>
    <w:rsid w:val="00495BDE"/>
    <w:rsid w:val="00495E28"/>
    <w:rsid w:val="00495FBD"/>
    <w:rsid w:val="00496198"/>
    <w:rsid w:val="0049748B"/>
    <w:rsid w:val="004A0AE5"/>
    <w:rsid w:val="004A2B84"/>
    <w:rsid w:val="004A3F20"/>
    <w:rsid w:val="004A3F42"/>
    <w:rsid w:val="004A4795"/>
    <w:rsid w:val="004A4798"/>
    <w:rsid w:val="004A4D63"/>
    <w:rsid w:val="004A599E"/>
    <w:rsid w:val="004A62D2"/>
    <w:rsid w:val="004A6715"/>
    <w:rsid w:val="004A7124"/>
    <w:rsid w:val="004A79F5"/>
    <w:rsid w:val="004A7B63"/>
    <w:rsid w:val="004B03AB"/>
    <w:rsid w:val="004B0451"/>
    <w:rsid w:val="004B0CAD"/>
    <w:rsid w:val="004B13AB"/>
    <w:rsid w:val="004B3472"/>
    <w:rsid w:val="004B391B"/>
    <w:rsid w:val="004B3D77"/>
    <w:rsid w:val="004B44EC"/>
    <w:rsid w:val="004B4E34"/>
    <w:rsid w:val="004B56F0"/>
    <w:rsid w:val="004B6568"/>
    <w:rsid w:val="004B6C1C"/>
    <w:rsid w:val="004B7285"/>
    <w:rsid w:val="004B75F5"/>
    <w:rsid w:val="004B76B4"/>
    <w:rsid w:val="004B7935"/>
    <w:rsid w:val="004C0442"/>
    <w:rsid w:val="004C2950"/>
    <w:rsid w:val="004C3065"/>
    <w:rsid w:val="004C3D00"/>
    <w:rsid w:val="004C410A"/>
    <w:rsid w:val="004C45E1"/>
    <w:rsid w:val="004C4927"/>
    <w:rsid w:val="004C4DA3"/>
    <w:rsid w:val="004C50B6"/>
    <w:rsid w:val="004C68B2"/>
    <w:rsid w:val="004D01D5"/>
    <w:rsid w:val="004D0535"/>
    <w:rsid w:val="004D07B5"/>
    <w:rsid w:val="004D229F"/>
    <w:rsid w:val="004D235C"/>
    <w:rsid w:val="004D441F"/>
    <w:rsid w:val="004D5792"/>
    <w:rsid w:val="004D5E81"/>
    <w:rsid w:val="004D62F5"/>
    <w:rsid w:val="004D6E24"/>
    <w:rsid w:val="004D7608"/>
    <w:rsid w:val="004D7A41"/>
    <w:rsid w:val="004D7A89"/>
    <w:rsid w:val="004E0235"/>
    <w:rsid w:val="004E04CD"/>
    <w:rsid w:val="004E41C2"/>
    <w:rsid w:val="004E433B"/>
    <w:rsid w:val="004E4585"/>
    <w:rsid w:val="004E45B7"/>
    <w:rsid w:val="004E46CB"/>
    <w:rsid w:val="004E5352"/>
    <w:rsid w:val="004E5860"/>
    <w:rsid w:val="004E5D24"/>
    <w:rsid w:val="004E6CC2"/>
    <w:rsid w:val="004E7036"/>
    <w:rsid w:val="004F00F7"/>
    <w:rsid w:val="004F17ED"/>
    <w:rsid w:val="004F1BFC"/>
    <w:rsid w:val="004F20BC"/>
    <w:rsid w:val="004F290A"/>
    <w:rsid w:val="004F2EE2"/>
    <w:rsid w:val="004F31AD"/>
    <w:rsid w:val="004F4584"/>
    <w:rsid w:val="004F5076"/>
    <w:rsid w:val="004F57BF"/>
    <w:rsid w:val="004F725F"/>
    <w:rsid w:val="004F7FF8"/>
    <w:rsid w:val="005017CF"/>
    <w:rsid w:val="005026BC"/>
    <w:rsid w:val="005029F5"/>
    <w:rsid w:val="00503785"/>
    <w:rsid w:val="00503F4C"/>
    <w:rsid w:val="0050449A"/>
    <w:rsid w:val="00504B98"/>
    <w:rsid w:val="0050517D"/>
    <w:rsid w:val="00506EE4"/>
    <w:rsid w:val="00506F8A"/>
    <w:rsid w:val="005070E9"/>
    <w:rsid w:val="00507131"/>
    <w:rsid w:val="00511129"/>
    <w:rsid w:val="00511468"/>
    <w:rsid w:val="005115DD"/>
    <w:rsid w:val="005119BC"/>
    <w:rsid w:val="00512423"/>
    <w:rsid w:val="00512483"/>
    <w:rsid w:val="00512FF9"/>
    <w:rsid w:val="0051354F"/>
    <w:rsid w:val="00514756"/>
    <w:rsid w:val="005153A9"/>
    <w:rsid w:val="0051552E"/>
    <w:rsid w:val="005156E9"/>
    <w:rsid w:val="005159E0"/>
    <w:rsid w:val="00515B0B"/>
    <w:rsid w:val="00516730"/>
    <w:rsid w:val="00516797"/>
    <w:rsid w:val="0052072F"/>
    <w:rsid w:val="005217B0"/>
    <w:rsid w:val="0052182B"/>
    <w:rsid w:val="005219AA"/>
    <w:rsid w:val="0052202E"/>
    <w:rsid w:val="00522CEC"/>
    <w:rsid w:val="00522EDB"/>
    <w:rsid w:val="00522F04"/>
    <w:rsid w:val="00524202"/>
    <w:rsid w:val="005251E5"/>
    <w:rsid w:val="0052559D"/>
    <w:rsid w:val="00525C4E"/>
    <w:rsid w:val="00525DD3"/>
    <w:rsid w:val="00525EA6"/>
    <w:rsid w:val="005260EB"/>
    <w:rsid w:val="00526A80"/>
    <w:rsid w:val="00526AC5"/>
    <w:rsid w:val="00526CC4"/>
    <w:rsid w:val="00527301"/>
    <w:rsid w:val="00527E41"/>
    <w:rsid w:val="00530107"/>
    <w:rsid w:val="00530AD7"/>
    <w:rsid w:val="005319FB"/>
    <w:rsid w:val="00531FA8"/>
    <w:rsid w:val="005329F0"/>
    <w:rsid w:val="00533156"/>
    <w:rsid w:val="005333A1"/>
    <w:rsid w:val="00533811"/>
    <w:rsid w:val="0053401C"/>
    <w:rsid w:val="005340B0"/>
    <w:rsid w:val="005340EB"/>
    <w:rsid w:val="00534916"/>
    <w:rsid w:val="00536C7B"/>
    <w:rsid w:val="0053768B"/>
    <w:rsid w:val="005378DD"/>
    <w:rsid w:val="00537C94"/>
    <w:rsid w:val="00541A22"/>
    <w:rsid w:val="00541A87"/>
    <w:rsid w:val="00542516"/>
    <w:rsid w:val="00542E5B"/>
    <w:rsid w:val="005432FD"/>
    <w:rsid w:val="0054361F"/>
    <w:rsid w:val="005438F1"/>
    <w:rsid w:val="00543A19"/>
    <w:rsid w:val="00543AD6"/>
    <w:rsid w:val="005448A3"/>
    <w:rsid w:val="0054491E"/>
    <w:rsid w:val="00544FDC"/>
    <w:rsid w:val="005453F3"/>
    <w:rsid w:val="005457AD"/>
    <w:rsid w:val="00547BE8"/>
    <w:rsid w:val="0055047E"/>
    <w:rsid w:val="00550536"/>
    <w:rsid w:val="00551839"/>
    <w:rsid w:val="0055329D"/>
    <w:rsid w:val="0055340B"/>
    <w:rsid w:val="0055358C"/>
    <w:rsid w:val="005544EE"/>
    <w:rsid w:val="00555383"/>
    <w:rsid w:val="005573B6"/>
    <w:rsid w:val="0056037A"/>
    <w:rsid w:val="00561487"/>
    <w:rsid w:val="005623D8"/>
    <w:rsid w:val="00562830"/>
    <w:rsid w:val="0056286A"/>
    <w:rsid w:val="00562B09"/>
    <w:rsid w:val="005639A6"/>
    <w:rsid w:val="005639FB"/>
    <w:rsid w:val="00563FE1"/>
    <w:rsid w:val="0056410E"/>
    <w:rsid w:val="00564D88"/>
    <w:rsid w:val="00565553"/>
    <w:rsid w:val="005660F7"/>
    <w:rsid w:val="005664D6"/>
    <w:rsid w:val="0056796D"/>
    <w:rsid w:val="00570DA0"/>
    <w:rsid w:val="00571E31"/>
    <w:rsid w:val="0057211B"/>
    <w:rsid w:val="00572A69"/>
    <w:rsid w:val="00572B1F"/>
    <w:rsid w:val="005730B6"/>
    <w:rsid w:val="0057346A"/>
    <w:rsid w:val="0057427D"/>
    <w:rsid w:val="005743A9"/>
    <w:rsid w:val="00574771"/>
    <w:rsid w:val="00574871"/>
    <w:rsid w:val="0057521D"/>
    <w:rsid w:val="00575EF3"/>
    <w:rsid w:val="0057620C"/>
    <w:rsid w:val="00577BA0"/>
    <w:rsid w:val="00580423"/>
    <w:rsid w:val="00580A62"/>
    <w:rsid w:val="00580C46"/>
    <w:rsid w:val="00581D27"/>
    <w:rsid w:val="0058279B"/>
    <w:rsid w:val="0058350A"/>
    <w:rsid w:val="005841CD"/>
    <w:rsid w:val="00584676"/>
    <w:rsid w:val="00584EF2"/>
    <w:rsid w:val="00585842"/>
    <w:rsid w:val="00585D64"/>
    <w:rsid w:val="00591413"/>
    <w:rsid w:val="005919A6"/>
    <w:rsid w:val="00591B32"/>
    <w:rsid w:val="00591DCE"/>
    <w:rsid w:val="00592181"/>
    <w:rsid w:val="0059285F"/>
    <w:rsid w:val="005929F2"/>
    <w:rsid w:val="0059476F"/>
    <w:rsid w:val="0059497C"/>
    <w:rsid w:val="00594BDC"/>
    <w:rsid w:val="005962DE"/>
    <w:rsid w:val="00596439"/>
    <w:rsid w:val="00597A5F"/>
    <w:rsid w:val="005A153F"/>
    <w:rsid w:val="005A224D"/>
    <w:rsid w:val="005A2424"/>
    <w:rsid w:val="005A2446"/>
    <w:rsid w:val="005A27AD"/>
    <w:rsid w:val="005A3417"/>
    <w:rsid w:val="005A4F6E"/>
    <w:rsid w:val="005A5259"/>
    <w:rsid w:val="005A55EE"/>
    <w:rsid w:val="005A5E3A"/>
    <w:rsid w:val="005B0771"/>
    <w:rsid w:val="005B22E5"/>
    <w:rsid w:val="005B24CC"/>
    <w:rsid w:val="005B25B3"/>
    <w:rsid w:val="005B31AF"/>
    <w:rsid w:val="005B3987"/>
    <w:rsid w:val="005B3B64"/>
    <w:rsid w:val="005B3CA5"/>
    <w:rsid w:val="005B4D78"/>
    <w:rsid w:val="005B4E08"/>
    <w:rsid w:val="005B4FEB"/>
    <w:rsid w:val="005B50EB"/>
    <w:rsid w:val="005B540C"/>
    <w:rsid w:val="005B5519"/>
    <w:rsid w:val="005B5FC7"/>
    <w:rsid w:val="005B7D1D"/>
    <w:rsid w:val="005C1334"/>
    <w:rsid w:val="005C4FFF"/>
    <w:rsid w:val="005C572E"/>
    <w:rsid w:val="005C6043"/>
    <w:rsid w:val="005C646E"/>
    <w:rsid w:val="005C67AD"/>
    <w:rsid w:val="005C6FA7"/>
    <w:rsid w:val="005D0221"/>
    <w:rsid w:val="005D0875"/>
    <w:rsid w:val="005D1B7C"/>
    <w:rsid w:val="005D1C34"/>
    <w:rsid w:val="005D26EF"/>
    <w:rsid w:val="005D29F0"/>
    <w:rsid w:val="005D2DE7"/>
    <w:rsid w:val="005D2DF3"/>
    <w:rsid w:val="005D2E7C"/>
    <w:rsid w:val="005D43E4"/>
    <w:rsid w:val="005D488B"/>
    <w:rsid w:val="005D58E0"/>
    <w:rsid w:val="005D5FA4"/>
    <w:rsid w:val="005D744C"/>
    <w:rsid w:val="005D791C"/>
    <w:rsid w:val="005E109F"/>
    <w:rsid w:val="005E1256"/>
    <w:rsid w:val="005E1668"/>
    <w:rsid w:val="005E1759"/>
    <w:rsid w:val="005E17FB"/>
    <w:rsid w:val="005E1E75"/>
    <w:rsid w:val="005E20B4"/>
    <w:rsid w:val="005E2E83"/>
    <w:rsid w:val="005E458E"/>
    <w:rsid w:val="005E4A26"/>
    <w:rsid w:val="005E704A"/>
    <w:rsid w:val="005E7CD0"/>
    <w:rsid w:val="005E7D47"/>
    <w:rsid w:val="005F03AD"/>
    <w:rsid w:val="005F041E"/>
    <w:rsid w:val="005F0783"/>
    <w:rsid w:val="005F0D95"/>
    <w:rsid w:val="005F1B50"/>
    <w:rsid w:val="005F1C83"/>
    <w:rsid w:val="005F1DCA"/>
    <w:rsid w:val="005F20D8"/>
    <w:rsid w:val="005F22D6"/>
    <w:rsid w:val="005F26DE"/>
    <w:rsid w:val="005F3EAE"/>
    <w:rsid w:val="005F4520"/>
    <w:rsid w:val="005F500B"/>
    <w:rsid w:val="005F5D03"/>
    <w:rsid w:val="005F79DC"/>
    <w:rsid w:val="0060064E"/>
    <w:rsid w:val="00601C3F"/>
    <w:rsid w:val="006023B0"/>
    <w:rsid w:val="006028F0"/>
    <w:rsid w:val="00602A46"/>
    <w:rsid w:val="00602C30"/>
    <w:rsid w:val="00602FAD"/>
    <w:rsid w:val="006032C9"/>
    <w:rsid w:val="006059B1"/>
    <w:rsid w:val="00606457"/>
    <w:rsid w:val="006123ED"/>
    <w:rsid w:val="00612632"/>
    <w:rsid w:val="00612837"/>
    <w:rsid w:val="00613AA7"/>
    <w:rsid w:val="006140DF"/>
    <w:rsid w:val="006149D9"/>
    <w:rsid w:val="006175EC"/>
    <w:rsid w:val="00617FEA"/>
    <w:rsid w:val="006206A5"/>
    <w:rsid w:val="00620EDE"/>
    <w:rsid w:val="006215AA"/>
    <w:rsid w:val="00621B6B"/>
    <w:rsid w:val="00622694"/>
    <w:rsid w:val="006226A8"/>
    <w:rsid w:val="006226A9"/>
    <w:rsid w:val="006227B0"/>
    <w:rsid w:val="00622BBC"/>
    <w:rsid w:val="00623C45"/>
    <w:rsid w:val="00624A6B"/>
    <w:rsid w:val="00625899"/>
    <w:rsid w:val="00626441"/>
    <w:rsid w:val="00626AFD"/>
    <w:rsid w:val="00627277"/>
    <w:rsid w:val="00627302"/>
    <w:rsid w:val="00631056"/>
    <w:rsid w:val="0063141F"/>
    <w:rsid w:val="006332EB"/>
    <w:rsid w:val="00633844"/>
    <w:rsid w:val="00634DB2"/>
    <w:rsid w:val="00635143"/>
    <w:rsid w:val="00635A63"/>
    <w:rsid w:val="00635CA8"/>
    <w:rsid w:val="0063686F"/>
    <w:rsid w:val="006400A8"/>
    <w:rsid w:val="00640AF8"/>
    <w:rsid w:val="00641CFA"/>
    <w:rsid w:val="00641D03"/>
    <w:rsid w:val="006424BD"/>
    <w:rsid w:val="00643364"/>
    <w:rsid w:val="00643569"/>
    <w:rsid w:val="00643745"/>
    <w:rsid w:val="0064387E"/>
    <w:rsid w:val="00643B3F"/>
    <w:rsid w:val="00643D33"/>
    <w:rsid w:val="00643D80"/>
    <w:rsid w:val="0064406C"/>
    <w:rsid w:val="00644E9B"/>
    <w:rsid w:val="006460E2"/>
    <w:rsid w:val="006460EC"/>
    <w:rsid w:val="00646796"/>
    <w:rsid w:val="00646BC4"/>
    <w:rsid w:val="00647176"/>
    <w:rsid w:val="00647D51"/>
    <w:rsid w:val="00647DCB"/>
    <w:rsid w:val="00650306"/>
    <w:rsid w:val="006503D0"/>
    <w:rsid w:val="00650750"/>
    <w:rsid w:val="00651739"/>
    <w:rsid w:val="00651962"/>
    <w:rsid w:val="00653921"/>
    <w:rsid w:val="00655604"/>
    <w:rsid w:val="006556F9"/>
    <w:rsid w:val="00655B06"/>
    <w:rsid w:val="00655B93"/>
    <w:rsid w:val="0065640A"/>
    <w:rsid w:val="0066079F"/>
    <w:rsid w:val="00660C74"/>
    <w:rsid w:val="00660CA8"/>
    <w:rsid w:val="0066185E"/>
    <w:rsid w:val="00661D20"/>
    <w:rsid w:val="00661D85"/>
    <w:rsid w:val="00661FD3"/>
    <w:rsid w:val="00662461"/>
    <w:rsid w:val="00662EE1"/>
    <w:rsid w:val="00662F3B"/>
    <w:rsid w:val="00663719"/>
    <w:rsid w:val="00663953"/>
    <w:rsid w:val="00664EB3"/>
    <w:rsid w:val="00664FD3"/>
    <w:rsid w:val="0066575E"/>
    <w:rsid w:val="00665EF3"/>
    <w:rsid w:val="0066637D"/>
    <w:rsid w:val="00667A2E"/>
    <w:rsid w:val="00667E91"/>
    <w:rsid w:val="00670751"/>
    <w:rsid w:val="006707B1"/>
    <w:rsid w:val="00670B2D"/>
    <w:rsid w:val="00670DD4"/>
    <w:rsid w:val="00671711"/>
    <w:rsid w:val="00671AB9"/>
    <w:rsid w:val="00671F39"/>
    <w:rsid w:val="00672A18"/>
    <w:rsid w:val="006739B3"/>
    <w:rsid w:val="00673DFF"/>
    <w:rsid w:val="00673FF4"/>
    <w:rsid w:val="00674C5A"/>
    <w:rsid w:val="0067593A"/>
    <w:rsid w:val="006771A3"/>
    <w:rsid w:val="0067739E"/>
    <w:rsid w:val="00680490"/>
    <w:rsid w:val="006816B6"/>
    <w:rsid w:val="00681989"/>
    <w:rsid w:val="00681E69"/>
    <w:rsid w:val="00682542"/>
    <w:rsid w:val="00682EDD"/>
    <w:rsid w:val="0068350A"/>
    <w:rsid w:val="0068353F"/>
    <w:rsid w:val="00683C12"/>
    <w:rsid w:val="00684652"/>
    <w:rsid w:val="00684B5D"/>
    <w:rsid w:val="00684E02"/>
    <w:rsid w:val="00685917"/>
    <w:rsid w:val="00685AF0"/>
    <w:rsid w:val="0068613B"/>
    <w:rsid w:val="00686203"/>
    <w:rsid w:val="00686244"/>
    <w:rsid w:val="00686998"/>
    <w:rsid w:val="006905B2"/>
    <w:rsid w:val="00690ECB"/>
    <w:rsid w:val="006917E5"/>
    <w:rsid w:val="00691FD9"/>
    <w:rsid w:val="0069239B"/>
    <w:rsid w:val="006928FA"/>
    <w:rsid w:val="00692A0D"/>
    <w:rsid w:val="00692D4A"/>
    <w:rsid w:val="00693D04"/>
    <w:rsid w:val="00694B1D"/>
    <w:rsid w:val="00694E6F"/>
    <w:rsid w:val="006951F8"/>
    <w:rsid w:val="0069547E"/>
    <w:rsid w:val="006958C0"/>
    <w:rsid w:val="00697980"/>
    <w:rsid w:val="006A0A15"/>
    <w:rsid w:val="006A1109"/>
    <w:rsid w:val="006A111C"/>
    <w:rsid w:val="006A182D"/>
    <w:rsid w:val="006A186A"/>
    <w:rsid w:val="006A206F"/>
    <w:rsid w:val="006A275A"/>
    <w:rsid w:val="006A2A95"/>
    <w:rsid w:val="006A2F4C"/>
    <w:rsid w:val="006A30E5"/>
    <w:rsid w:val="006A32E5"/>
    <w:rsid w:val="006A38BB"/>
    <w:rsid w:val="006A44ED"/>
    <w:rsid w:val="006A496B"/>
    <w:rsid w:val="006A4EDB"/>
    <w:rsid w:val="006A50C7"/>
    <w:rsid w:val="006A514D"/>
    <w:rsid w:val="006A523B"/>
    <w:rsid w:val="006A5452"/>
    <w:rsid w:val="006A5DB4"/>
    <w:rsid w:val="006A64A4"/>
    <w:rsid w:val="006A6C12"/>
    <w:rsid w:val="006A6EBA"/>
    <w:rsid w:val="006A7264"/>
    <w:rsid w:val="006A758D"/>
    <w:rsid w:val="006A7C6B"/>
    <w:rsid w:val="006B1F4A"/>
    <w:rsid w:val="006B287A"/>
    <w:rsid w:val="006B2A48"/>
    <w:rsid w:val="006B375D"/>
    <w:rsid w:val="006B4430"/>
    <w:rsid w:val="006B521C"/>
    <w:rsid w:val="006B544F"/>
    <w:rsid w:val="006B5996"/>
    <w:rsid w:val="006B5B43"/>
    <w:rsid w:val="006B627C"/>
    <w:rsid w:val="006B62A8"/>
    <w:rsid w:val="006B69D3"/>
    <w:rsid w:val="006B6A56"/>
    <w:rsid w:val="006B712E"/>
    <w:rsid w:val="006B742B"/>
    <w:rsid w:val="006B7F1C"/>
    <w:rsid w:val="006C0C0C"/>
    <w:rsid w:val="006C266C"/>
    <w:rsid w:val="006C289B"/>
    <w:rsid w:val="006C2B4F"/>
    <w:rsid w:val="006C2E41"/>
    <w:rsid w:val="006C37C0"/>
    <w:rsid w:val="006C3F33"/>
    <w:rsid w:val="006C45F6"/>
    <w:rsid w:val="006C490A"/>
    <w:rsid w:val="006C494E"/>
    <w:rsid w:val="006C5236"/>
    <w:rsid w:val="006C533E"/>
    <w:rsid w:val="006C5C0C"/>
    <w:rsid w:val="006C6B23"/>
    <w:rsid w:val="006C7336"/>
    <w:rsid w:val="006C74D1"/>
    <w:rsid w:val="006C7A5B"/>
    <w:rsid w:val="006C7CF6"/>
    <w:rsid w:val="006D015D"/>
    <w:rsid w:val="006D0619"/>
    <w:rsid w:val="006D0D37"/>
    <w:rsid w:val="006D19BA"/>
    <w:rsid w:val="006D1D2A"/>
    <w:rsid w:val="006D2B62"/>
    <w:rsid w:val="006D2B75"/>
    <w:rsid w:val="006D2D68"/>
    <w:rsid w:val="006D3497"/>
    <w:rsid w:val="006D3E3E"/>
    <w:rsid w:val="006D4DE1"/>
    <w:rsid w:val="006D5048"/>
    <w:rsid w:val="006D73AF"/>
    <w:rsid w:val="006E04BB"/>
    <w:rsid w:val="006E0BCA"/>
    <w:rsid w:val="006E1570"/>
    <w:rsid w:val="006E19D7"/>
    <w:rsid w:val="006E1D1B"/>
    <w:rsid w:val="006E24F3"/>
    <w:rsid w:val="006E2584"/>
    <w:rsid w:val="006E32C9"/>
    <w:rsid w:val="006E3354"/>
    <w:rsid w:val="006E454F"/>
    <w:rsid w:val="006E5908"/>
    <w:rsid w:val="006E6117"/>
    <w:rsid w:val="006E64BF"/>
    <w:rsid w:val="006E6996"/>
    <w:rsid w:val="006E71E7"/>
    <w:rsid w:val="006E774A"/>
    <w:rsid w:val="006F0367"/>
    <w:rsid w:val="006F0D59"/>
    <w:rsid w:val="006F1057"/>
    <w:rsid w:val="006F186D"/>
    <w:rsid w:val="006F1EF6"/>
    <w:rsid w:val="006F2A75"/>
    <w:rsid w:val="006F2DC5"/>
    <w:rsid w:val="006F387D"/>
    <w:rsid w:val="006F3F98"/>
    <w:rsid w:val="006F45C6"/>
    <w:rsid w:val="006F46B0"/>
    <w:rsid w:val="006F62E5"/>
    <w:rsid w:val="006F763B"/>
    <w:rsid w:val="006F7D44"/>
    <w:rsid w:val="007003E5"/>
    <w:rsid w:val="0070066F"/>
    <w:rsid w:val="00700D99"/>
    <w:rsid w:val="00700F5F"/>
    <w:rsid w:val="007022D9"/>
    <w:rsid w:val="007030B4"/>
    <w:rsid w:val="00703CB9"/>
    <w:rsid w:val="00704FBD"/>
    <w:rsid w:val="00707108"/>
    <w:rsid w:val="00707266"/>
    <w:rsid w:val="00707337"/>
    <w:rsid w:val="00710BF7"/>
    <w:rsid w:val="00710C46"/>
    <w:rsid w:val="00711242"/>
    <w:rsid w:val="00711BF7"/>
    <w:rsid w:val="00712ADD"/>
    <w:rsid w:val="00712C63"/>
    <w:rsid w:val="007138FD"/>
    <w:rsid w:val="00713AAD"/>
    <w:rsid w:val="0071421E"/>
    <w:rsid w:val="007144FD"/>
    <w:rsid w:val="00714C11"/>
    <w:rsid w:val="00715F98"/>
    <w:rsid w:val="007164A3"/>
    <w:rsid w:val="00716B2B"/>
    <w:rsid w:val="0071727B"/>
    <w:rsid w:val="007205AB"/>
    <w:rsid w:val="0072162C"/>
    <w:rsid w:val="0072170D"/>
    <w:rsid w:val="0072172E"/>
    <w:rsid w:val="0072179D"/>
    <w:rsid w:val="00721D59"/>
    <w:rsid w:val="00722278"/>
    <w:rsid w:val="0072310D"/>
    <w:rsid w:val="007231E1"/>
    <w:rsid w:val="00723264"/>
    <w:rsid w:val="00723CEE"/>
    <w:rsid w:val="00723DCC"/>
    <w:rsid w:val="00725FA2"/>
    <w:rsid w:val="00727588"/>
    <w:rsid w:val="00730E44"/>
    <w:rsid w:val="00730F14"/>
    <w:rsid w:val="00731095"/>
    <w:rsid w:val="007311BD"/>
    <w:rsid w:val="007321F9"/>
    <w:rsid w:val="0073255C"/>
    <w:rsid w:val="00733952"/>
    <w:rsid w:val="00734F48"/>
    <w:rsid w:val="00734F77"/>
    <w:rsid w:val="0073559A"/>
    <w:rsid w:val="00735C97"/>
    <w:rsid w:val="00735E18"/>
    <w:rsid w:val="00737048"/>
    <w:rsid w:val="00737F1C"/>
    <w:rsid w:val="00740794"/>
    <w:rsid w:val="007408F2"/>
    <w:rsid w:val="00740981"/>
    <w:rsid w:val="00741990"/>
    <w:rsid w:val="0074238A"/>
    <w:rsid w:val="00742448"/>
    <w:rsid w:val="00742D32"/>
    <w:rsid w:val="00742E72"/>
    <w:rsid w:val="007431FD"/>
    <w:rsid w:val="00743A68"/>
    <w:rsid w:val="00743B2A"/>
    <w:rsid w:val="00744B98"/>
    <w:rsid w:val="00746A91"/>
    <w:rsid w:val="00747B61"/>
    <w:rsid w:val="0075009D"/>
    <w:rsid w:val="0075181C"/>
    <w:rsid w:val="007523FB"/>
    <w:rsid w:val="0075266E"/>
    <w:rsid w:val="007530DF"/>
    <w:rsid w:val="007531C4"/>
    <w:rsid w:val="00753201"/>
    <w:rsid w:val="00753B3A"/>
    <w:rsid w:val="00754557"/>
    <w:rsid w:val="00755947"/>
    <w:rsid w:val="00755DF7"/>
    <w:rsid w:val="00756148"/>
    <w:rsid w:val="00756D85"/>
    <w:rsid w:val="007603EC"/>
    <w:rsid w:val="00760B5D"/>
    <w:rsid w:val="00760D40"/>
    <w:rsid w:val="00761986"/>
    <w:rsid w:val="007628D0"/>
    <w:rsid w:val="00762EBC"/>
    <w:rsid w:val="00763BE3"/>
    <w:rsid w:val="0076431F"/>
    <w:rsid w:val="0076581C"/>
    <w:rsid w:val="0076785E"/>
    <w:rsid w:val="00767E07"/>
    <w:rsid w:val="00767F7E"/>
    <w:rsid w:val="007702DB"/>
    <w:rsid w:val="00770319"/>
    <w:rsid w:val="0077083D"/>
    <w:rsid w:val="0077128A"/>
    <w:rsid w:val="0077281E"/>
    <w:rsid w:val="00772CC3"/>
    <w:rsid w:val="007732A3"/>
    <w:rsid w:val="00773B7D"/>
    <w:rsid w:val="00773D9A"/>
    <w:rsid w:val="00773F43"/>
    <w:rsid w:val="007748FD"/>
    <w:rsid w:val="00775EFA"/>
    <w:rsid w:val="00776234"/>
    <w:rsid w:val="00776DAA"/>
    <w:rsid w:val="0077708A"/>
    <w:rsid w:val="007773FB"/>
    <w:rsid w:val="00780264"/>
    <w:rsid w:val="007810BF"/>
    <w:rsid w:val="00782095"/>
    <w:rsid w:val="00784308"/>
    <w:rsid w:val="00784C46"/>
    <w:rsid w:val="00785C92"/>
    <w:rsid w:val="00786292"/>
    <w:rsid w:val="00786879"/>
    <w:rsid w:val="007873A0"/>
    <w:rsid w:val="007901E8"/>
    <w:rsid w:val="00790A8D"/>
    <w:rsid w:val="00791114"/>
    <w:rsid w:val="007916AC"/>
    <w:rsid w:val="00791FEE"/>
    <w:rsid w:val="00791FF8"/>
    <w:rsid w:val="007927EC"/>
    <w:rsid w:val="00792CA1"/>
    <w:rsid w:val="0079392E"/>
    <w:rsid w:val="007949B1"/>
    <w:rsid w:val="00794AFF"/>
    <w:rsid w:val="00794DB3"/>
    <w:rsid w:val="0079565B"/>
    <w:rsid w:val="00796DBD"/>
    <w:rsid w:val="00796EEC"/>
    <w:rsid w:val="00796FA2"/>
    <w:rsid w:val="0079735E"/>
    <w:rsid w:val="00797817"/>
    <w:rsid w:val="007A0A0B"/>
    <w:rsid w:val="007A1806"/>
    <w:rsid w:val="007A1FEC"/>
    <w:rsid w:val="007A222C"/>
    <w:rsid w:val="007A2374"/>
    <w:rsid w:val="007A2AE8"/>
    <w:rsid w:val="007A31E5"/>
    <w:rsid w:val="007A466F"/>
    <w:rsid w:val="007A485A"/>
    <w:rsid w:val="007A4DB6"/>
    <w:rsid w:val="007A5AB8"/>
    <w:rsid w:val="007A64C2"/>
    <w:rsid w:val="007A64E5"/>
    <w:rsid w:val="007A667C"/>
    <w:rsid w:val="007A6892"/>
    <w:rsid w:val="007B023D"/>
    <w:rsid w:val="007B031D"/>
    <w:rsid w:val="007B0348"/>
    <w:rsid w:val="007B0390"/>
    <w:rsid w:val="007B0D7C"/>
    <w:rsid w:val="007B0E32"/>
    <w:rsid w:val="007B13DB"/>
    <w:rsid w:val="007B1596"/>
    <w:rsid w:val="007B15D7"/>
    <w:rsid w:val="007B2654"/>
    <w:rsid w:val="007B3772"/>
    <w:rsid w:val="007B3F60"/>
    <w:rsid w:val="007B4A45"/>
    <w:rsid w:val="007B4BAD"/>
    <w:rsid w:val="007B53E9"/>
    <w:rsid w:val="007B5B2C"/>
    <w:rsid w:val="007B5B58"/>
    <w:rsid w:val="007B5D84"/>
    <w:rsid w:val="007B6044"/>
    <w:rsid w:val="007B6448"/>
    <w:rsid w:val="007B6BF8"/>
    <w:rsid w:val="007B6FB8"/>
    <w:rsid w:val="007B7CD1"/>
    <w:rsid w:val="007C0F51"/>
    <w:rsid w:val="007C1333"/>
    <w:rsid w:val="007C1966"/>
    <w:rsid w:val="007C2898"/>
    <w:rsid w:val="007C28CF"/>
    <w:rsid w:val="007C2A2A"/>
    <w:rsid w:val="007C2B78"/>
    <w:rsid w:val="007C3AAE"/>
    <w:rsid w:val="007C3DD6"/>
    <w:rsid w:val="007C42CD"/>
    <w:rsid w:val="007C4A57"/>
    <w:rsid w:val="007C63B7"/>
    <w:rsid w:val="007C64E5"/>
    <w:rsid w:val="007C7E6C"/>
    <w:rsid w:val="007D2E47"/>
    <w:rsid w:val="007D3327"/>
    <w:rsid w:val="007D3F6A"/>
    <w:rsid w:val="007D4C47"/>
    <w:rsid w:val="007D5CD7"/>
    <w:rsid w:val="007D6556"/>
    <w:rsid w:val="007D7250"/>
    <w:rsid w:val="007D736B"/>
    <w:rsid w:val="007D7C17"/>
    <w:rsid w:val="007D7EF9"/>
    <w:rsid w:val="007D7F7B"/>
    <w:rsid w:val="007E0AE2"/>
    <w:rsid w:val="007E2615"/>
    <w:rsid w:val="007E472A"/>
    <w:rsid w:val="007E6B7A"/>
    <w:rsid w:val="007E776C"/>
    <w:rsid w:val="007E7FA9"/>
    <w:rsid w:val="007F38C1"/>
    <w:rsid w:val="007F44C5"/>
    <w:rsid w:val="007F4A50"/>
    <w:rsid w:val="007F4FB6"/>
    <w:rsid w:val="007F5BB5"/>
    <w:rsid w:val="007F6503"/>
    <w:rsid w:val="007F6C34"/>
    <w:rsid w:val="007F7137"/>
    <w:rsid w:val="00800265"/>
    <w:rsid w:val="00800D90"/>
    <w:rsid w:val="008034F7"/>
    <w:rsid w:val="008035CB"/>
    <w:rsid w:val="00803726"/>
    <w:rsid w:val="00803FDA"/>
    <w:rsid w:val="008046AF"/>
    <w:rsid w:val="008049A4"/>
    <w:rsid w:val="00804A4E"/>
    <w:rsid w:val="008051C8"/>
    <w:rsid w:val="0080630A"/>
    <w:rsid w:val="00806AF5"/>
    <w:rsid w:val="00807143"/>
    <w:rsid w:val="00807DA2"/>
    <w:rsid w:val="0081003E"/>
    <w:rsid w:val="008101CD"/>
    <w:rsid w:val="008102DD"/>
    <w:rsid w:val="008104FF"/>
    <w:rsid w:val="008109B2"/>
    <w:rsid w:val="00810D5F"/>
    <w:rsid w:val="00810D68"/>
    <w:rsid w:val="00811FC9"/>
    <w:rsid w:val="0081242B"/>
    <w:rsid w:val="008141B3"/>
    <w:rsid w:val="00814410"/>
    <w:rsid w:val="0081456C"/>
    <w:rsid w:val="0081527D"/>
    <w:rsid w:val="0081633E"/>
    <w:rsid w:val="008163C4"/>
    <w:rsid w:val="00816CDB"/>
    <w:rsid w:val="00817CE3"/>
    <w:rsid w:val="00820A06"/>
    <w:rsid w:val="00820AC8"/>
    <w:rsid w:val="00820C89"/>
    <w:rsid w:val="00822735"/>
    <w:rsid w:val="00822A45"/>
    <w:rsid w:val="00822B86"/>
    <w:rsid w:val="008239AA"/>
    <w:rsid w:val="0082403C"/>
    <w:rsid w:val="008247F6"/>
    <w:rsid w:val="0082599B"/>
    <w:rsid w:val="00825F30"/>
    <w:rsid w:val="00826BC0"/>
    <w:rsid w:val="00831561"/>
    <w:rsid w:val="00832215"/>
    <w:rsid w:val="00832B99"/>
    <w:rsid w:val="00832CDF"/>
    <w:rsid w:val="00833D8B"/>
    <w:rsid w:val="00835449"/>
    <w:rsid w:val="00835945"/>
    <w:rsid w:val="00837299"/>
    <w:rsid w:val="00840F19"/>
    <w:rsid w:val="00842877"/>
    <w:rsid w:val="00842AB7"/>
    <w:rsid w:val="00843F99"/>
    <w:rsid w:val="008444E6"/>
    <w:rsid w:val="0084469E"/>
    <w:rsid w:val="00844BA2"/>
    <w:rsid w:val="00846C54"/>
    <w:rsid w:val="0084723D"/>
    <w:rsid w:val="00847984"/>
    <w:rsid w:val="00847EB2"/>
    <w:rsid w:val="008506EA"/>
    <w:rsid w:val="00852B3E"/>
    <w:rsid w:val="00853152"/>
    <w:rsid w:val="0085447D"/>
    <w:rsid w:val="00854A86"/>
    <w:rsid w:val="008569FD"/>
    <w:rsid w:val="00856D0F"/>
    <w:rsid w:val="00860B48"/>
    <w:rsid w:val="00860CD7"/>
    <w:rsid w:val="008617C6"/>
    <w:rsid w:val="00861810"/>
    <w:rsid w:val="00861E14"/>
    <w:rsid w:val="00862560"/>
    <w:rsid w:val="0086312F"/>
    <w:rsid w:val="0086382C"/>
    <w:rsid w:val="0086388D"/>
    <w:rsid w:val="008645D5"/>
    <w:rsid w:val="00865A3C"/>
    <w:rsid w:val="00865DA7"/>
    <w:rsid w:val="008669D5"/>
    <w:rsid w:val="00867379"/>
    <w:rsid w:val="008674C6"/>
    <w:rsid w:val="0086787D"/>
    <w:rsid w:val="00870088"/>
    <w:rsid w:val="008701E9"/>
    <w:rsid w:val="00870296"/>
    <w:rsid w:val="008702CF"/>
    <w:rsid w:val="0087041C"/>
    <w:rsid w:val="00870A69"/>
    <w:rsid w:val="00870FE7"/>
    <w:rsid w:val="00871F91"/>
    <w:rsid w:val="00872585"/>
    <w:rsid w:val="008770D6"/>
    <w:rsid w:val="00877283"/>
    <w:rsid w:val="0087733F"/>
    <w:rsid w:val="00877CFB"/>
    <w:rsid w:val="00880516"/>
    <w:rsid w:val="00881206"/>
    <w:rsid w:val="008816D6"/>
    <w:rsid w:val="0088247A"/>
    <w:rsid w:val="00882890"/>
    <w:rsid w:val="00882A35"/>
    <w:rsid w:val="0088372F"/>
    <w:rsid w:val="00884030"/>
    <w:rsid w:val="00884289"/>
    <w:rsid w:val="00884527"/>
    <w:rsid w:val="00886877"/>
    <w:rsid w:val="008901D5"/>
    <w:rsid w:val="008910D7"/>
    <w:rsid w:val="008926E8"/>
    <w:rsid w:val="00892C1E"/>
    <w:rsid w:val="00892EFC"/>
    <w:rsid w:val="00894384"/>
    <w:rsid w:val="008944C1"/>
    <w:rsid w:val="00894887"/>
    <w:rsid w:val="008948CC"/>
    <w:rsid w:val="00894BEF"/>
    <w:rsid w:val="00894D78"/>
    <w:rsid w:val="00895155"/>
    <w:rsid w:val="00896561"/>
    <w:rsid w:val="0089685D"/>
    <w:rsid w:val="00896D3F"/>
    <w:rsid w:val="00897B44"/>
    <w:rsid w:val="008A077E"/>
    <w:rsid w:val="008A0E4B"/>
    <w:rsid w:val="008A1F63"/>
    <w:rsid w:val="008A2F95"/>
    <w:rsid w:val="008A385D"/>
    <w:rsid w:val="008A397A"/>
    <w:rsid w:val="008A51BD"/>
    <w:rsid w:val="008A5DB8"/>
    <w:rsid w:val="008A6122"/>
    <w:rsid w:val="008A65D8"/>
    <w:rsid w:val="008A71C1"/>
    <w:rsid w:val="008A72AB"/>
    <w:rsid w:val="008A7AF6"/>
    <w:rsid w:val="008B068E"/>
    <w:rsid w:val="008B0911"/>
    <w:rsid w:val="008B0FC4"/>
    <w:rsid w:val="008B0FD4"/>
    <w:rsid w:val="008B1374"/>
    <w:rsid w:val="008B22C1"/>
    <w:rsid w:val="008B2AD3"/>
    <w:rsid w:val="008B2CFE"/>
    <w:rsid w:val="008B41F5"/>
    <w:rsid w:val="008B4FD2"/>
    <w:rsid w:val="008B516A"/>
    <w:rsid w:val="008B51EA"/>
    <w:rsid w:val="008B5A69"/>
    <w:rsid w:val="008B6AB9"/>
    <w:rsid w:val="008B6EF0"/>
    <w:rsid w:val="008C0785"/>
    <w:rsid w:val="008C07F4"/>
    <w:rsid w:val="008C0D3A"/>
    <w:rsid w:val="008C1202"/>
    <w:rsid w:val="008C1C13"/>
    <w:rsid w:val="008C1F0C"/>
    <w:rsid w:val="008C210C"/>
    <w:rsid w:val="008C31EC"/>
    <w:rsid w:val="008C353B"/>
    <w:rsid w:val="008C5617"/>
    <w:rsid w:val="008C5AFF"/>
    <w:rsid w:val="008C6961"/>
    <w:rsid w:val="008D009C"/>
    <w:rsid w:val="008D0DEE"/>
    <w:rsid w:val="008D1A76"/>
    <w:rsid w:val="008D1BA6"/>
    <w:rsid w:val="008D2CFC"/>
    <w:rsid w:val="008D2D60"/>
    <w:rsid w:val="008D3415"/>
    <w:rsid w:val="008D3B00"/>
    <w:rsid w:val="008D3BF6"/>
    <w:rsid w:val="008D3C51"/>
    <w:rsid w:val="008D3E77"/>
    <w:rsid w:val="008D410E"/>
    <w:rsid w:val="008D4440"/>
    <w:rsid w:val="008D514A"/>
    <w:rsid w:val="008D535A"/>
    <w:rsid w:val="008D54D9"/>
    <w:rsid w:val="008D5EB7"/>
    <w:rsid w:val="008D799C"/>
    <w:rsid w:val="008E05DE"/>
    <w:rsid w:val="008E078D"/>
    <w:rsid w:val="008E0D59"/>
    <w:rsid w:val="008E1418"/>
    <w:rsid w:val="008E182C"/>
    <w:rsid w:val="008E2E9C"/>
    <w:rsid w:val="008E32A0"/>
    <w:rsid w:val="008E3628"/>
    <w:rsid w:val="008E39E6"/>
    <w:rsid w:val="008E3B5B"/>
    <w:rsid w:val="008E4021"/>
    <w:rsid w:val="008E42F8"/>
    <w:rsid w:val="008E64B9"/>
    <w:rsid w:val="008E6B9D"/>
    <w:rsid w:val="008E7FA2"/>
    <w:rsid w:val="008F08B8"/>
    <w:rsid w:val="008F1A82"/>
    <w:rsid w:val="008F1F42"/>
    <w:rsid w:val="008F2373"/>
    <w:rsid w:val="008F25D2"/>
    <w:rsid w:val="008F3160"/>
    <w:rsid w:val="008F39C8"/>
    <w:rsid w:val="008F3BB7"/>
    <w:rsid w:val="008F42C5"/>
    <w:rsid w:val="008F433C"/>
    <w:rsid w:val="008F72D7"/>
    <w:rsid w:val="009018AC"/>
    <w:rsid w:val="00901CE2"/>
    <w:rsid w:val="00901CE7"/>
    <w:rsid w:val="00901EF4"/>
    <w:rsid w:val="009025B2"/>
    <w:rsid w:val="00903004"/>
    <w:rsid w:val="009031F3"/>
    <w:rsid w:val="00903D5C"/>
    <w:rsid w:val="00904470"/>
    <w:rsid w:val="00904590"/>
    <w:rsid w:val="00904AB5"/>
    <w:rsid w:val="00905987"/>
    <w:rsid w:val="00905BFB"/>
    <w:rsid w:val="009067BA"/>
    <w:rsid w:val="009067CA"/>
    <w:rsid w:val="00906BF6"/>
    <w:rsid w:val="00907069"/>
    <w:rsid w:val="00910A42"/>
    <w:rsid w:val="00910D69"/>
    <w:rsid w:val="00910E1B"/>
    <w:rsid w:val="00911214"/>
    <w:rsid w:val="00911218"/>
    <w:rsid w:val="00911815"/>
    <w:rsid w:val="00912753"/>
    <w:rsid w:val="00912F8F"/>
    <w:rsid w:val="00913CC6"/>
    <w:rsid w:val="0091470F"/>
    <w:rsid w:val="009148BD"/>
    <w:rsid w:val="009151A2"/>
    <w:rsid w:val="00915834"/>
    <w:rsid w:val="00916B55"/>
    <w:rsid w:val="00917462"/>
    <w:rsid w:val="009174AE"/>
    <w:rsid w:val="009179F1"/>
    <w:rsid w:val="009202FE"/>
    <w:rsid w:val="009206F2"/>
    <w:rsid w:val="009216A7"/>
    <w:rsid w:val="00921C95"/>
    <w:rsid w:val="00921E63"/>
    <w:rsid w:val="00922860"/>
    <w:rsid w:val="0092316A"/>
    <w:rsid w:val="009236A6"/>
    <w:rsid w:val="00923893"/>
    <w:rsid w:val="00923B8E"/>
    <w:rsid w:val="00923E46"/>
    <w:rsid w:val="009251F0"/>
    <w:rsid w:val="0092593D"/>
    <w:rsid w:val="00925E78"/>
    <w:rsid w:val="009264AC"/>
    <w:rsid w:val="00926601"/>
    <w:rsid w:val="00926CAD"/>
    <w:rsid w:val="009275F2"/>
    <w:rsid w:val="00927A17"/>
    <w:rsid w:val="00930BC3"/>
    <w:rsid w:val="00931022"/>
    <w:rsid w:val="00931831"/>
    <w:rsid w:val="009319D8"/>
    <w:rsid w:val="0093218B"/>
    <w:rsid w:val="00932633"/>
    <w:rsid w:val="00932745"/>
    <w:rsid w:val="009328E1"/>
    <w:rsid w:val="009329D7"/>
    <w:rsid w:val="0093306F"/>
    <w:rsid w:val="0093413A"/>
    <w:rsid w:val="0093435A"/>
    <w:rsid w:val="0093467A"/>
    <w:rsid w:val="0093480A"/>
    <w:rsid w:val="00935C1B"/>
    <w:rsid w:val="0093686D"/>
    <w:rsid w:val="00936E9E"/>
    <w:rsid w:val="009379C4"/>
    <w:rsid w:val="00937DA5"/>
    <w:rsid w:val="009401E9"/>
    <w:rsid w:val="009405E1"/>
    <w:rsid w:val="0094147E"/>
    <w:rsid w:val="00942498"/>
    <w:rsid w:val="009425BB"/>
    <w:rsid w:val="009437E9"/>
    <w:rsid w:val="009451F2"/>
    <w:rsid w:val="0094538A"/>
    <w:rsid w:val="00945681"/>
    <w:rsid w:val="00945B01"/>
    <w:rsid w:val="00946088"/>
    <w:rsid w:val="009466A0"/>
    <w:rsid w:val="00946A07"/>
    <w:rsid w:val="00947DB6"/>
    <w:rsid w:val="00950A29"/>
    <w:rsid w:val="00950CB3"/>
    <w:rsid w:val="009518DA"/>
    <w:rsid w:val="00951930"/>
    <w:rsid w:val="009537A4"/>
    <w:rsid w:val="00954857"/>
    <w:rsid w:val="00955035"/>
    <w:rsid w:val="009552F8"/>
    <w:rsid w:val="009565ED"/>
    <w:rsid w:val="0095673E"/>
    <w:rsid w:val="00956DD8"/>
    <w:rsid w:val="00956FEC"/>
    <w:rsid w:val="00957AC4"/>
    <w:rsid w:val="009613C8"/>
    <w:rsid w:val="00961441"/>
    <w:rsid w:val="00961850"/>
    <w:rsid w:val="00961A81"/>
    <w:rsid w:val="00961F49"/>
    <w:rsid w:val="00962647"/>
    <w:rsid w:val="009629BE"/>
    <w:rsid w:val="00962BA7"/>
    <w:rsid w:val="00962D5B"/>
    <w:rsid w:val="00962EE3"/>
    <w:rsid w:val="00964762"/>
    <w:rsid w:val="00965984"/>
    <w:rsid w:val="009671B3"/>
    <w:rsid w:val="0097133F"/>
    <w:rsid w:val="009713D9"/>
    <w:rsid w:val="0097220E"/>
    <w:rsid w:val="009728D4"/>
    <w:rsid w:val="00972D9C"/>
    <w:rsid w:val="00972EED"/>
    <w:rsid w:val="00973451"/>
    <w:rsid w:val="00973DEF"/>
    <w:rsid w:val="00974D0D"/>
    <w:rsid w:val="00974FF5"/>
    <w:rsid w:val="009751C8"/>
    <w:rsid w:val="00975D4A"/>
    <w:rsid w:val="009760E4"/>
    <w:rsid w:val="00976807"/>
    <w:rsid w:val="0097730C"/>
    <w:rsid w:val="00980B35"/>
    <w:rsid w:val="0098148A"/>
    <w:rsid w:val="00981DB2"/>
    <w:rsid w:val="00981FFB"/>
    <w:rsid w:val="009824A1"/>
    <w:rsid w:val="009825E3"/>
    <w:rsid w:val="0098268A"/>
    <w:rsid w:val="009846B6"/>
    <w:rsid w:val="00984D28"/>
    <w:rsid w:val="00984F17"/>
    <w:rsid w:val="0098727E"/>
    <w:rsid w:val="00987573"/>
    <w:rsid w:val="00990397"/>
    <w:rsid w:val="0099074E"/>
    <w:rsid w:val="0099171F"/>
    <w:rsid w:val="009931C0"/>
    <w:rsid w:val="009933B3"/>
    <w:rsid w:val="00993C82"/>
    <w:rsid w:val="0099435D"/>
    <w:rsid w:val="00994BA5"/>
    <w:rsid w:val="00994FE0"/>
    <w:rsid w:val="009957BC"/>
    <w:rsid w:val="00995B31"/>
    <w:rsid w:val="00996E0D"/>
    <w:rsid w:val="009975D5"/>
    <w:rsid w:val="009A0045"/>
    <w:rsid w:val="009A0898"/>
    <w:rsid w:val="009A0DBD"/>
    <w:rsid w:val="009A1695"/>
    <w:rsid w:val="009A192E"/>
    <w:rsid w:val="009A2E04"/>
    <w:rsid w:val="009A3069"/>
    <w:rsid w:val="009A3BE2"/>
    <w:rsid w:val="009A3EFF"/>
    <w:rsid w:val="009A3F32"/>
    <w:rsid w:val="009A542E"/>
    <w:rsid w:val="009A559B"/>
    <w:rsid w:val="009A58C4"/>
    <w:rsid w:val="009A6105"/>
    <w:rsid w:val="009A66BF"/>
    <w:rsid w:val="009A6CD3"/>
    <w:rsid w:val="009A6EB1"/>
    <w:rsid w:val="009A7D10"/>
    <w:rsid w:val="009B1189"/>
    <w:rsid w:val="009B28DF"/>
    <w:rsid w:val="009B3C42"/>
    <w:rsid w:val="009B43AB"/>
    <w:rsid w:val="009B608C"/>
    <w:rsid w:val="009C327B"/>
    <w:rsid w:val="009C356F"/>
    <w:rsid w:val="009C4154"/>
    <w:rsid w:val="009C4669"/>
    <w:rsid w:val="009C47F3"/>
    <w:rsid w:val="009C4EA5"/>
    <w:rsid w:val="009C511D"/>
    <w:rsid w:val="009C579F"/>
    <w:rsid w:val="009C64B9"/>
    <w:rsid w:val="009C6F4B"/>
    <w:rsid w:val="009C7DB4"/>
    <w:rsid w:val="009C7FE2"/>
    <w:rsid w:val="009D01CD"/>
    <w:rsid w:val="009D14E1"/>
    <w:rsid w:val="009D26ED"/>
    <w:rsid w:val="009D2E55"/>
    <w:rsid w:val="009D3556"/>
    <w:rsid w:val="009D439A"/>
    <w:rsid w:val="009D46E5"/>
    <w:rsid w:val="009D480A"/>
    <w:rsid w:val="009D5202"/>
    <w:rsid w:val="009D53A7"/>
    <w:rsid w:val="009D57E3"/>
    <w:rsid w:val="009D57F9"/>
    <w:rsid w:val="009D687E"/>
    <w:rsid w:val="009D76DB"/>
    <w:rsid w:val="009E0F13"/>
    <w:rsid w:val="009E1C75"/>
    <w:rsid w:val="009E23BD"/>
    <w:rsid w:val="009E290A"/>
    <w:rsid w:val="009E3420"/>
    <w:rsid w:val="009E3465"/>
    <w:rsid w:val="009E3834"/>
    <w:rsid w:val="009E42ED"/>
    <w:rsid w:val="009E4BBD"/>
    <w:rsid w:val="009E4D9D"/>
    <w:rsid w:val="009E5513"/>
    <w:rsid w:val="009E5BC6"/>
    <w:rsid w:val="009E6378"/>
    <w:rsid w:val="009E64B5"/>
    <w:rsid w:val="009E6DA0"/>
    <w:rsid w:val="009E7005"/>
    <w:rsid w:val="009E7973"/>
    <w:rsid w:val="009F0217"/>
    <w:rsid w:val="009F08C2"/>
    <w:rsid w:val="009F16A5"/>
    <w:rsid w:val="009F2DB9"/>
    <w:rsid w:val="009F3304"/>
    <w:rsid w:val="009F419D"/>
    <w:rsid w:val="009F4513"/>
    <w:rsid w:val="009F4EFC"/>
    <w:rsid w:val="009F5218"/>
    <w:rsid w:val="009F5900"/>
    <w:rsid w:val="009F6192"/>
    <w:rsid w:val="009F62A0"/>
    <w:rsid w:val="009F6A51"/>
    <w:rsid w:val="009F737D"/>
    <w:rsid w:val="009F76F4"/>
    <w:rsid w:val="009F7D6C"/>
    <w:rsid w:val="009F7DC0"/>
    <w:rsid w:val="00A0007A"/>
    <w:rsid w:val="00A0200E"/>
    <w:rsid w:val="00A034D4"/>
    <w:rsid w:val="00A0387F"/>
    <w:rsid w:val="00A03B14"/>
    <w:rsid w:val="00A04372"/>
    <w:rsid w:val="00A0529D"/>
    <w:rsid w:val="00A05B3B"/>
    <w:rsid w:val="00A063F6"/>
    <w:rsid w:val="00A06A2F"/>
    <w:rsid w:val="00A07559"/>
    <w:rsid w:val="00A0768E"/>
    <w:rsid w:val="00A07806"/>
    <w:rsid w:val="00A079D8"/>
    <w:rsid w:val="00A10321"/>
    <w:rsid w:val="00A108BF"/>
    <w:rsid w:val="00A10ADC"/>
    <w:rsid w:val="00A1116B"/>
    <w:rsid w:val="00A11485"/>
    <w:rsid w:val="00A11E6E"/>
    <w:rsid w:val="00A12B52"/>
    <w:rsid w:val="00A12D29"/>
    <w:rsid w:val="00A13141"/>
    <w:rsid w:val="00A14464"/>
    <w:rsid w:val="00A145F8"/>
    <w:rsid w:val="00A151ED"/>
    <w:rsid w:val="00A1608F"/>
    <w:rsid w:val="00A16711"/>
    <w:rsid w:val="00A16716"/>
    <w:rsid w:val="00A1682B"/>
    <w:rsid w:val="00A17253"/>
    <w:rsid w:val="00A17510"/>
    <w:rsid w:val="00A17587"/>
    <w:rsid w:val="00A17AD4"/>
    <w:rsid w:val="00A17EFF"/>
    <w:rsid w:val="00A17F55"/>
    <w:rsid w:val="00A2080F"/>
    <w:rsid w:val="00A21A27"/>
    <w:rsid w:val="00A235FC"/>
    <w:rsid w:val="00A23DFD"/>
    <w:rsid w:val="00A24835"/>
    <w:rsid w:val="00A2560A"/>
    <w:rsid w:val="00A263F2"/>
    <w:rsid w:val="00A2656A"/>
    <w:rsid w:val="00A266A4"/>
    <w:rsid w:val="00A26B1F"/>
    <w:rsid w:val="00A30014"/>
    <w:rsid w:val="00A30285"/>
    <w:rsid w:val="00A31190"/>
    <w:rsid w:val="00A31376"/>
    <w:rsid w:val="00A31C7D"/>
    <w:rsid w:val="00A3224D"/>
    <w:rsid w:val="00A32346"/>
    <w:rsid w:val="00A328F7"/>
    <w:rsid w:val="00A3333C"/>
    <w:rsid w:val="00A33379"/>
    <w:rsid w:val="00A3369D"/>
    <w:rsid w:val="00A34032"/>
    <w:rsid w:val="00A34B18"/>
    <w:rsid w:val="00A34F8A"/>
    <w:rsid w:val="00A352AC"/>
    <w:rsid w:val="00A35616"/>
    <w:rsid w:val="00A356AF"/>
    <w:rsid w:val="00A356ED"/>
    <w:rsid w:val="00A35DDA"/>
    <w:rsid w:val="00A36259"/>
    <w:rsid w:val="00A36271"/>
    <w:rsid w:val="00A37367"/>
    <w:rsid w:val="00A37E6E"/>
    <w:rsid w:val="00A401F6"/>
    <w:rsid w:val="00A40A48"/>
    <w:rsid w:val="00A41EA9"/>
    <w:rsid w:val="00A42645"/>
    <w:rsid w:val="00A42B40"/>
    <w:rsid w:val="00A43288"/>
    <w:rsid w:val="00A43998"/>
    <w:rsid w:val="00A44BC4"/>
    <w:rsid w:val="00A44CE5"/>
    <w:rsid w:val="00A450BC"/>
    <w:rsid w:val="00A450C6"/>
    <w:rsid w:val="00A45AF5"/>
    <w:rsid w:val="00A47802"/>
    <w:rsid w:val="00A50117"/>
    <w:rsid w:val="00A5161A"/>
    <w:rsid w:val="00A5198C"/>
    <w:rsid w:val="00A51D5A"/>
    <w:rsid w:val="00A520FA"/>
    <w:rsid w:val="00A52EBA"/>
    <w:rsid w:val="00A52F36"/>
    <w:rsid w:val="00A52FA9"/>
    <w:rsid w:val="00A52FBD"/>
    <w:rsid w:val="00A53062"/>
    <w:rsid w:val="00A53D93"/>
    <w:rsid w:val="00A542CE"/>
    <w:rsid w:val="00A544DA"/>
    <w:rsid w:val="00A55D35"/>
    <w:rsid w:val="00A560C7"/>
    <w:rsid w:val="00A578E1"/>
    <w:rsid w:val="00A60406"/>
    <w:rsid w:val="00A61B6C"/>
    <w:rsid w:val="00A61F08"/>
    <w:rsid w:val="00A629CA"/>
    <w:rsid w:val="00A635CA"/>
    <w:rsid w:val="00A635CF"/>
    <w:rsid w:val="00A64305"/>
    <w:rsid w:val="00A66A7E"/>
    <w:rsid w:val="00A7075C"/>
    <w:rsid w:val="00A7095A"/>
    <w:rsid w:val="00A7134F"/>
    <w:rsid w:val="00A7152B"/>
    <w:rsid w:val="00A73504"/>
    <w:rsid w:val="00A7449B"/>
    <w:rsid w:val="00A74BA7"/>
    <w:rsid w:val="00A758CC"/>
    <w:rsid w:val="00A7639A"/>
    <w:rsid w:val="00A76BF7"/>
    <w:rsid w:val="00A77420"/>
    <w:rsid w:val="00A77CAF"/>
    <w:rsid w:val="00A802D6"/>
    <w:rsid w:val="00A805F6"/>
    <w:rsid w:val="00A80DBA"/>
    <w:rsid w:val="00A8134A"/>
    <w:rsid w:val="00A82B2E"/>
    <w:rsid w:val="00A83F2D"/>
    <w:rsid w:val="00A843B1"/>
    <w:rsid w:val="00A84E30"/>
    <w:rsid w:val="00A85FE6"/>
    <w:rsid w:val="00A874A7"/>
    <w:rsid w:val="00A87D54"/>
    <w:rsid w:val="00A901AE"/>
    <w:rsid w:val="00A91361"/>
    <w:rsid w:val="00A91C4E"/>
    <w:rsid w:val="00A92705"/>
    <w:rsid w:val="00A92ECA"/>
    <w:rsid w:val="00A95A8A"/>
    <w:rsid w:val="00A9745F"/>
    <w:rsid w:val="00A974A8"/>
    <w:rsid w:val="00A977C7"/>
    <w:rsid w:val="00A97BAE"/>
    <w:rsid w:val="00AA0758"/>
    <w:rsid w:val="00AA0C58"/>
    <w:rsid w:val="00AA10BE"/>
    <w:rsid w:val="00AA18F3"/>
    <w:rsid w:val="00AA199E"/>
    <w:rsid w:val="00AA2382"/>
    <w:rsid w:val="00AA23DA"/>
    <w:rsid w:val="00AA2904"/>
    <w:rsid w:val="00AA2C6C"/>
    <w:rsid w:val="00AA333F"/>
    <w:rsid w:val="00AA34EB"/>
    <w:rsid w:val="00AA48DC"/>
    <w:rsid w:val="00AA496E"/>
    <w:rsid w:val="00AA5244"/>
    <w:rsid w:val="00AA5A85"/>
    <w:rsid w:val="00AA76DC"/>
    <w:rsid w:val="00AB063D"/>
    <w:rsid w:val="00AB1C62"/>
    <w:rsid w:val="00AB1EC3"/>
    <w:rsid w:val="00AB2596"/>
    <w:rsid w:val="00AB2A4C"/>
    <w:rsid w:val="00AB3C30"/>
    <w:rsid w:val="00AB3F17"/>
    <w:rsid w:val="00AB3FB8"/>
    <w:rsid w:val="00AB4B5D"/>
    <w:rsid w:val="00AB5089"/>
    <w:rsid w:val="00AB5DB5"/>
    <w:rsid w:val="00AB620C"/>
    <w:rsid w:val="00AB6B5C"/>
    <w:rsid w:val="00AB6D34"/>
    <w:rsid w:val="00AB736E"/>
    <w:rsid w:val="00AC08BA"/>
    <w:rsid w:val="00AC11FE"/>
    <w:rsid w:val="00AC1470"/>
    <w:rsid w:val="00AC20C1"/>
    <w:rsid w:val="00AC3B73"/>
    <w:rsid w:val="00AC4065"/>
    <w:rsid w:val="00AC5B9F"/>
    <w:rsid w:val="00AC5C3C"/>
    <w:rsid w:val="00AC6655"/>
    <w:rsid w:val="00AC71F2"/>
    <w:rsid w:val="00AD2AA0"/>
    <w:rsid w:val="00AD314C"/>
    <w:rsid w:val="00AD37AC"/>
    <w:rsid w:val="00AD410D"/>
    <w:rsid w:val="00AD49D8"/>
    <w:rsid w:val="00AD52D6"/>
    <w:rsid w:val="00AD6200"/>
    <w:rsid w:val="00AD6602"/>
    <w:rsid w:val="00AD68E8"/>
    <w:rsid w:val="00AD73D5"/>
    <w:rsid w:val="00AD778D"/>
    <w:rsid w:val="00AE09A8"/>
    <w:rsid w:val="00AE0E8E"/>
    <w:rsid w:val="00AE222B"/>
    <w:rsid w:val="00AE3188"/>
    <w:rsid w:val="00AE3CB2"/>
    <w:rsid w:val="00AE41EE"/>
    <w:rsid w:val="00AE43A5"/>
    <w:rsid w:val="00AE4C70"/>
    <w:rsid w:val="00AE5B17"/>
    <w:rsid w:val="00AE6B99"/>
    <w:rsid w:val="00AE6F9F"/>
    <w:rsid w:val="00AE7042"/>
    <w:rsid w:val="00AE7C31"/>
    <w:rsid w:val="00AF1570"/>
    <w:rsid w:val="00AF3563"/>
    <w:rsid w:val="00AF428C"/>
    <w:rsid w:val="00AF48FA"/>
    <w:rsid w:val="00AF4FAD"/>
    <w:rsid w:val="00AF63D4"/>
    <w:rsid w:val="00AF6E17"/>
    <w:rsid w:val="00AF7888"/>
    <w:rsid w:val="00AF7A15"/>
    <w:rsid w:val="00B00CF0"/>
    <w:rsid w:val="00B01127"/>
    <w:rsid w:val="00B01B53"/>
    <w:rsid w:val="00B02A0C"/>
    <w:rsid w:val="00B03110"/>
    <w:rsid w:val="00B042DD"/>
    <w:rsid w:val="00B046E1"/>
    <w:rsid w:val="00B05944"/>
    <w:rsid w:val="00B069F5"/>
    <w:rsid w:val="00B06EEB"/>
    <w:rsid w:val="00B06F41"/>
    <w:rsid w:val="00B06FC7"/>
    <w:rsid w:val="00B07B89"/>
    <w:rsid w:val="00B07D0C"/>
    <w:rsid w:val="00B07F99"/>
    <w:rsid w:val="00B10FD0"/>
    <w:rsid w:val="00B1157E"/>
    <w:rsid w:val="00B1248F"/>
    <w:rsid w:val="00B127F1"/>
    <w:rsid w:val="00B12980"/>
    <w:rsid w:val="00B12F18"/>
    <w:rsid w:val="00B139C5"/>
    <w:rsid w:val="00B14C56"/>
    <w:rsid w:val="00B150BC"/>
    <w:rsid w:val="00B16445"/>
    <w:rsid w:val="00B1695E"/>
    <w:rsid w:val="00B16B01"/>
    <w:rsid w:val="00B17E39"/>
    <w:rsid w:val="00B20A1B"/>
    <w:rsid w:val="00B214EF"/>
    <w:rsid w:val="00B21D39"/>
    <w:rsid w:val="00B22E7D"/>
    <w:rsid w:val="00B23317"/>
    <w:rsid w:val="00B23437"/>
    <w:rsid w:val="00B23B4E"/>
    <w:rsid w:val="00B23F23"/>
    <w:rsid w:val="00B243CB"/>
    <w:rsid w:val="00B25636"/>
    <w:rsid w:val="00B258B2"/>
    <w:rsid w:val="00B25A81"/>
    <w:rsid w:val="00B26142"/>
    <w:rsid w:val="00B267F0"/>
    <w:rsid w:val="00B26CFA"/>
    <w:rsid w:val="00B26DE5"/>
    <w:rsid w:val="00B273E9"/>
    <w:rsid w:val="00B27A59"/>
    <w:rsid w:val="00B30DCE"/>
    <w:rsid w:val="00B30E59"/>
    <w:rsid w:val="00B31467"/>
    <w:rsid w:val="00B314E6"/>
    <w:rsid w:val="00B3174A"/>
    <w:rsid w:val="00B31892"/>
    <w:rsid w:val="00B32218"/>
    <w:rsid w:val="00B332C1"/>
    <w:rsid w:val="00B33F4A"/>
    <w:rsid w:val="00B35097"/>
    <w:rsid w:val="00B3514A"/>
    <w:rsid w:val="00B3587F"/>
    <w:rsid w:val="00B35FD1"/>
    <w:rsid w:val="00B40061"/>
    <w:rsid w:val="00B40753"/>
    <w:rsid w:val="00B4165F"/>
    <w:rsid w:val="00B4176F"/>
    <w:rsid w:val="00B418DD"/>
    <w:rsid w:val="00B41B92"/>
    <w:rsid w:val="00B41EF6"/>
    <w:rsid w:val="00B42B02"/>
    <w:rsid w:val="00B434DE"/>
    <w:rsid w:val="00B4405E"/>
    <w:rsid w:val="00B44162"/>
    <w:rsid w:val="00B44BDA"/>
    <w:rsid w:val="00B44E2C"/>
    <w:rsid w:val="00B45847"/>
    <w:rsid w:val="00B46B15"/>
    <w:rsid w:val="00B4724E"/>
    <w:rsid w:val="00B50AEA"/>
    <w:rsid w:val="00B5166F"/>
    <w:rsid w:val="00B52769"/>
    <w:rsid w:val="00B529E0"/>
    <w:rsid w:val="00B54B38"/>
    <w:rsid w:val="00B54DB1"/>
    <w:rsid w:val="00B57283"/>
    <w:rsid w:val="00B607FE"/>
    <w:rsid w:val="00B60E95"/>
    <w:rsid w:val="00B6223A"/>
    <w:rsid w:val="00B62469"/>
    <w:rsid w:val="00B629B8"/>
    <w:rsid w:val="00B62C1F"/>
    <w:rsid w:val="00B63510"/>
    <w:rsid w:val="00B63578"/>
    <w:rsid w:val="00B63C53"/>
    <w:rsid w:val="00B64B4C"/>
    <w:rsid w:val="00B64B8F"/>
    <w:rsid w:val="00B65ED5"/>
    <w:rsid w:val="00B66A95"/>
    <w:rsid w:val="00B670B0"/>
    <w:rsid w:val="00B67395"/>
    <w:rsid w:val="00B7007D"/>
    <w:rsid w:val="00B703C6"/>
    <w:rsid w:val="00B708C7"/>
    <w:rsid w:val="00B723A5"/>
    <w:rsid w:val="00B7255D"/>
    <w:rsid w:val="00B73EA7"/>
    <w:rsid w:val="00B74114"/>
    <w:rsid w:val="00B748A1"/>
    <w:rsid w:val="00B74DDC"/>
    <w:rsid w:val="00B75121"/>
    <w:rsid w:val="00B76B36"/>
    <w:rsid w:val="00B77497"/>
    <w:rsid w:val="00B8050E"/>
    <w:rsid w:val="00B80669"/>
    <w:rsid w:val="00B81E4D"/>
    <w:rsid w:val="00B82892"/>
    <w:rsid w:val="00B8296B"/>
    <w:rsid w:val="00B83123"/>
    <w:rsid w:val="00B83DDD"/>
    <w:rsid w:val="00B853BF"/>
    <w:rsid w:val="00B8634C"/>
    <w:rsid w:val="00B86B55"/>
    <w:rsid w:val="00B8743C"/>
    <w:rsid w:val="00B877AC"/>
    <w:rsid w:val="00B90054"/>
    <w:rsid w:val="00B90572"/>
    <w:rsid w:val="00B90E2C"/>
    <w:rsid w:val="00B916A6"/>
    <w:rsid w:val="00B919AA"/>
    <w:rsid w:val="00B91D6D"/>
    <w:rsid w:val="00B9239D"/>
    <w:rsid w:val="00B93BB7"/>
    <w:rsid w:val="00B940A2"/>
    <w:rsid w:val="00B947E4"/>
    <w:rsid w:val="00B9537C"/>
    <w:rsid w:val="00B95EBB"/>
    <w:rsid w:val="00B968CA"/>
    <w:rsid w:val="00B96BA3"/>
    <w:rsid w:val="00B96C59"/>
    <w:rsid w:val="00B97971"/>
    <w:rsid w:val="00B97A91"/>
    <w:rsid w:val="00BA0CE2"/>
    <w:rsid w:val="00BA0D1A"/>
    <w:rsid w:val="00BA1616"/>
    <w:rsid w:val="00BA19AB"/>
    <w:rsid w:val="00BA26C1"/>
    <w:rsid w:val="00BA2730"/>
    <w:rsid w:val="00BA2D33"/>
    <w:rsid w:val="00BA357B"/>
    <w:rsid w:val="00BA3CF0"/>
    <w:rsid w:val="00BA4E7B"/>
    <w:rsid w:val="00BA5302"/>
    <w:rsid w:val="00BA5E3D"/>
    <w:rsid w:val="00BA6550"/>
    <w:rsid w:val="00BA74A5"/>
    <w:rsid w:val="00BA7F38"/>
    <w:rsid w:val="00BB05D9"/>
    <w:rsid w:val="00BB08E8"/>
    <w:rsid w:val="00BB1036"/>
    <w:rsid w:val="00BB1215"/>
    <w:rsid w:val="00BB1EE3"/>
    <w:rsid w:val="00BB436B"/>
    <w:rsid w:val="00BB444F"/>
    <w:rsid w:val="00BB4693"/>
    <w:rsid w:val="00BB5723"/>
    <w:rsid w:val="00BB5A93"/>
    <w:rsid w:val="00BC0384"/>
    <w:rsid w:val="00BC1154"/>
    <w:rsid w:val="00BC2584"/>
    <w:rsid w:val="00BC2890"/>
    <w:rsid w:val="00BC594E"/>
    <w:rsid w:val="00BC6A27"/>
    <w:rsid w:val="00BC7121"/>
    <w:rsid w:val="00BD0104"/>
    <w:rsid w:val="00BD02C7"/>
    <w:rsid w:val="00BD23D5"/>
    <w:rsid w:val="00BD366A"/>
    <w:rsid w:val="00BD3F83"/>
    <w:rsid w:val="00BD67FD"/>
    <w:rsid w:val="00BD6D02"/>
    <w:rsid w:val="00BD6F4E"/>
    <w:rsid w:val="00BE04C5"/>
    <w:rsid w:val="00BE0BC2"/>
    <w:rsid w:val="00BE18A9"/>
    <w:rsid w:val="00BE196B"/>
    <w:rsid w:val="00BE23FF"/>
    <w:rsid w:val="00BE2C88"/>
    <w:rsid w:val="00BE2E76"/>
    <w:rsid w:val="00BE3511"/>
    <w:rsid w:val="00BE3F92"/>
    <w:rsid w:val="00BE4627"/>
    <w:rsid w:val="00BE4980"/>
    <w:rsid w:val="00BE4B39"/>
    <w:rsid w:val="00BE5205"/>
    <w:rsid w:val="00BE549A"/>
    <w:rsid w:val="00BE619B"/>
    <w:rsid w:val="00BE644F"/>
    <w:rsid w:val="00BE6866"/>
    <w:rsid w:val="00BE701F"/>
    <w:rsid w:val="00BF057D"/>
    <w:rsid w:val="00BF1884"/>
    <w:rsid w:val="00BF18C8"/>
    <w:rsid w:val="00BF19E8"/>
    <w:rsid w:val="00BF2C98"/>
    <w:rsid w:val="00BF3F4E"/>
    <w:rsid w:val="00BF507D"/>
    <w:rsid w:val="00BF58CE"/>
    <w:rsid w:val="00BF5D0B"/>
    <w:rsid w:val="00BF7188"/>
    <w:rsid w:val="00BF75DE"/>
    <w:rsid w:val="00BF7ABD"/>
    <w:rsid w:val="00C0051C"/>
    <w:rsid w:val="00C0068F"/>
    <w:rsid w:val="00C00702"/>
    <w:rsid w:val="00C00866"/>
    <w:rsid w:val="00C01236"/>
    <w:rsid w:val="00C01CE6"/>
    <w:rsid w:val="00C02882"/>
    <w:rsid w:val="00C032AC"/>
    <w:rsid w:val="00C03385"/>
    <w:rsid w:val="00C03A12"/>
    <w:rsid w:val="00C0433A"/>
    <w:rsid w:val="00C04849"/>
    <w:rsid w:val="00C04DEF"/>
    <w:rsid w:val="00C054D2"/>
    <w:rsid w:val="00C05722"/>
    <w:rsid w:val="00C058B5"/>
    <w:rsid w:val="00C0746A"/>
    <w:rsid w:val="00C07526"/>
    <w:rsid w:val="00C0768B"/>
    <w:rsid w:val="00C07F32"/>
    <w:rsid w:val="00C1041A"/>
    <w:rsid w:val="00C10DA1"/>
    <w:rsid w:val="00C10DDE"/>
    <w:rsid w:val="00C10F89"/>
    <w:rsid w:val="00C11BD4"/>
    <w:rsid w:val="00C11C3F"/>
    <w:rsid w:val="00C11EC1"/>
    <w:rsid w:val="00C11FB2"/>
    <w:rsid w:val="00C12487"/>
    <w:rsid w:val="00C12D40"/>
    <w:rsid w:val="00C133B5"/>
    <w:rsid w:val="00C144C3"/>
    <w:rsid w:val="00C1635E"/>
    <w:rsid w:val="00C16AB3"/>
    <w:rsid w:val="00C16D2C"/>
    <w:rsid w:val="00C17C2B"/>
    <w:rsid w:val="00C20266"/>
    <w:rsid w:val="00C212B8"/>
    <w:rsid w:val="00C22BC0"/>
    <w:rsid w:val="00C22D08"/>
    <w:rsid w:val="00C23414"/>
    <w:rsid w:val="00C23612"/>
    <w:rsid w:val="00C23B2A"/>
    <w:rsid w:val="00C2404E"/>
    <w:rsid w:val="00C2453F"/>
    <w:rsid w:val="00C24B3D"/>
    <w:rsid w:val="00C25263"/>
    <w:rsid w:val="00C2562D"/>
    <w:rsid w:val="00C25E52"/>
    <w:rsid w:val="00C260B0"/>
    <w:rsid w:val="00C26AAA"/>
    <w:rsid w:val="00C26B42"/>
    <w:rsid w:val="00C2759E"/>
    <w:rsid w:val="00C307AA"/>
    <w:rsid w:val="00C30FCC"/>
    <w:rsid w:val="00C316E6"/>
    <w:rsid w:val="00C31766"/>
    <w:rsid w:val="00C322AB"/>
    <w:rsid w:val="00C32555"/>
    <w:rsid w:val="00C33C3A"/>
    <w:rsid w:val="00C33C4F"/>
    <w:rsid w:val="00C342EF"/>
    <w:rsid w:val="00C34F2E"/>
    <w:rsid w:val="00C35582"/>
    <w:rsid w:val="00C359D7"/>
    <w:rsid w:val="00C36507"/>
    <w:rsid w:val="00C3651F"/>
    <w:rsid w:val="00C36FB7"/>
    <w:rsid w:val="00C37267"/>
    <w:rsid w:val="00C3757C"/>
    <w:rsid w:val="00C376FF"/>
    <w:rsid w:val="00C37F83"/>
    <w:rsid w:val="00C41776"/>
    <w:rsid w:val="00C421AD"/>
    <w:rsid w:val="00C426C5"/>
    <w:rsid w:val="00C4286F"/>
    <w:rsid w:val="00C430F7"/>
    <w:rsid w:val="00C4389F"/>
    <w:rsid w:val="00C439A3"/>
    <w:rsid w:val="00C442BD"/>
    <w:rsid w:val="00C4437F"/>
    <w:rsid w:val="00C443CE"/>
    <w:rsid w:val="00C44680"/>
    <w:rsid w:val="00C450A9"/>
    <w:rsid w:val="00C45457"/>
    <w:rsid w:val="00C47214"/>
    <w:rsid w:val="00C47986"/>
    <w:rsid w:val="00C5245D"/>
    <w:rsid w:val="00C52980"/>
    <w:rsid w:val="00C529C6"/>
    <w:rsid w:val="00C52F82"/>
    <w:rsid w:val="00C54550"/>
    <w:rsid w:val="00C54B7D"/>
    <w:rsid w:val="00C56108"/>
    <w:rsid w:val="00C57585"/>
    <w:rsid w:val="00C575C4"/>
    <w:rsid w:val="00C60AEF"/>
    <w:rsid w:val="00C611C8"/>
    <w:rsid w:val="00C619B2"/>
    <w:rsid w:val="00C63418"/>
    <w:rsid w:val="00C640F1"/>
    <w:rsid w:val="00C64386"/>
    <w:rsid w:val="00C64811"/>
    <w:rsid w:val="00C655F2"/>
    <w:rsid w:val="00C65636"/>
    <w:rsid w:val="00C65D06"/>
    <w:rsid w:val="00C666D0"/>
    <w:rsid w:val="00C66B1B"/>
    <w:rsid w:val="00C66BDE"/>
    <w:rsid w:val="00C67606"/>
    <w:rsid w:val="00C707D1"/>
    <w:rsid w:val="00C72135"/>
    <w:rsid w:val="00C72CE2"/>
    <w:rsid w:val="00C748AF"/>
    <w:rsid w:val="00C74E05"/>
    <w:rsid w:val="00C7505B"/>
    <w:rsid w:val="00C752C4"/>
    <w:rsid w:val="00C75A42"/>
    <w:rsid w:val="00C761C4"/>
    <w:rsid w:val="00C76D66"/>
    <w:rsid w:val="00C7745D"/>
    <w:rsid w:val="00C8031B"/>
    <w:rsid w:val="00C81D35"/>
    <w:rsid w:val="00C8264D"/>
    <w:rsid w:val="00C83210"/>
    <w:rsid w:val="00C835EE"/>
    <w:rsid w:val="00C83EDF"/>
    <w:rsid w:val="00C83F05"/>
    <w:rsid w:val="00C85FC3"/>
    <w:rsid w:val="00C862E9"/>
    <w:rsid w:val="00C863E4"/>
    <w:rsid w:val="00C869F4"/>
    <w:rsid w:val="00C86BA8"/>
    <w:rsid w:val="00C86D8B"/>
    <w:rsid w:val="00C87401"/>
    <w:rsid w:val="00C87676"/>
    <w:rsid w:val="00C90101"/>
    <w:rsid w:val="00C908A8"/>
    <w:rsid w:val="00C90EB3"/>
    <w:rsid w:val="00C9294E"/>
    <w:rsid w:val="00C93856"/>
    <w:rsid w:val="00C93965"/>
    <w:rsid w:val="00C94856"/>
    <w:rsid w:val="00C94A7B"/>
    <w:rsid w:val="00C94FF0"/>
    <w:rsid w:val="00C951D1"/>
    <w:rsid w:val="00C954C6"/>
    <w:rsid w:val="00C9550A"/>
    <w:rsid w:val="00C960E4"/>
    <w:rsid w:val="00C971D8"/>
    <w:rsid w:val="00C971DD"/>
    <w:rsid w:val="00C974CA"/>
    <w:rsid w:val="00C97B0F"/>
    <w:rsid w:val="00CA0146"/>
    <w:rsid w:val="00CA09A4"/>
    <w:rsid w:val="00CA159D"/>
    <w:rsid w:val="00CA1ADC"/>
    <w:rsid w:val="00CA205C"/>
    <w:rsid w:val="00CA2AD0"/>
    <w:rsid w:val="00CA4E3E"/>
    <w:rsid w:val="00CA4E63"/>
    <w:rsid w:val="00CA58A0"/>
    <w:rsid w:val="00CA5A44"/>
    <w:rsid w:val="00CA7C99"/>
    <w:rsid w:val="00CB1098"/>
    <w:rsid w:val="00CB1910"/>
    <w:rsid w:val="00CB1A11"/>
    <w:rsid w:val="00CB1AE0"/>
    <w:rsid w:val="00CB287C"/>
    <w:rsid w:val="00CB3751"/>
    <w:rsid w:val="00CB3966"/>
    <w:rsid w:val="00CB39CC"/>
    <w:rsid w:val="00CB3CE4"/>
    <w:rsid w:val="00CB3D6D"/>
    <w:rsid w:val="00CB4256"/>
    <w:rsid w:val="00CB4569"/>
    <w:rsid w:val="00CB54A6"/>
    <w:rsid w:val="00CB6E82"/>
    <w:rsid w:val="00CB7EF4"/>
    <w:rsid w:val="00CC0ACE"/>
    <w:rsid w:val="00CC1128"/>
    <w:rsid w:val="00CC1440"/>
    <w:rsid w:val="00CC214F"/>
    <w:rsid w:val="00CC267B"/>
    <w:rsid w:val="00CC2BEB"/>
    <w:rsid w:val="00CC2ED5"/>
    <w:rsid w:val="00CC3535"/>
    <w:rsid w:val="00CC358C"/>
    <w:rsid w:val="00CC481F"/>
    <w:rsid w:val="00CC5567"/>
    <w:rsid w:val="00CC6F37"/>
    <w:rsid w:val="00CC7913"/>
    <w:rsid w:val="00CC79AD"/>
    <w:rsid w:val="00CD03E6"/>
    <w:rsid w:val="00CD1317"/>
    <w:rsid w:val="00CD247B"/>
    <w:rsid w:val="00CD2A50"/>
    <w:rsid w:val="00CD2EB9"/>
    <w:rsid w:val="00CD313B"/>
    <w:rsid w:val="00CD3D89"/>
    <w:rsid w:val="00CD3DD8"/>
    <w:rsid w:val="00CD539F"/>
    <w:rsid w:val="00CD6CE7"/>
    <w:rsid w:val="00CD7DFC"/>
    <w:rsid w:val="00CE04E8"/>
    <w:rsid w:val="00CE07C1"/>
    <w:rsid w:val="00CE12B1"/>
    <w:rsid w:val="00CE1506"/>
    <w:rsid w:val="00CE1A94"/>
    <w:rsid w:val="00CE2276"/>
    <w:rsid w:val="00CE2A56"/>
    <w:rsid w:val="00CE3C9D"/>
    <w:rsid w:val="00CE3F5D"/>
    <w:rsid w:val="00CE4146"/>
    <w:rsid w:val="00CE41F6"/>
    <w:rsid w:val="00CE4308"/>
    <w:rsid w:val="00CE43EE"/>
    <w:rsid w:val="00CE53CF"/>
    <w:rsid w:val="00CE586C"/>
    <w:rsid w:val="00CE6388"/>
    <w:rsid w:val="00CE669C"/>
    <w:rsid w:val="00CE6CED"/>
    <w:rsid w:val="00CE6D65"/>
    <w:rsid w:val="00CE6F02"/>
    <w:rsid w:val="00CE75FD"/>
    <w:rsid w:val="00CE770B"/>
    <w:rsid w:val="00CE78C9"/>
    <w:rsid w:val="00CE78E6"/>
    <w:rsid w:val="00CE7F57"/>
    <w:rsid w:val="00CF0973"/>
    <w:rsid w:val="00CF1F9E"/>
    <w:rsid w:val="00CF292D"/>
    <w:rsid w:val="00CF2BD0"/>
    <w:rsid w:val="00CF3782"/>
    <w:rsid w:val="00CF4157"/>
    <w:rsid w:val="00CF55C7"/>
    <w:rsid w:val="00CF5FB3"/>
    <w:rsid w:val="00CF613C"/>
    <w:rsid w:val="00CF683B"/>
    <w:rsid w:val="00CF7466"/>
    <w:rsid w:val="00D00199"/>
    <w:rsid w:val="00D001FD"/>
    <w:rsid w:val="00D01CDE"/>
    <w:rsid w:val="00D01DA8"/>
    <w:rsid w:val="00D03AC4"/>
    <w:rsid w:val="00D04A7A"/>
    <w:rsid w:val="00D059B4"/>
    <w:rsid w:val="00D05BFA"/>
    <w:rsid w:val="00D06182"/>
    <w:rsid w:val="00D06FA0"/>
    <w:rsid w:val="00D07141"/>
    <w:rsid w:val="00D076E6"/>
    <w:rsid w:val="00D07ECC"/>
    <w:rsid w:val="00D11C26"/>
    <w:rsid w:val="00D11F14"/>
    <w:rsid w:val="00D12298"/>
    <w:rsid w:val="00D13DED"/>
    <w:rsid w:val="00D15525"/>
    <w:rsid w:val="00D15AFB"/>
    <w:rsid w:val="00D165C0"/>
    <w:rsid w:val="00D165E9"/>
    <w:rsid w:val="00D16C7E"/>
    <w:rsid w:val="00D1717B"/>
    <w:rsid w:val="00D20A55"/>
    <w:rsid w:val="00D20AF4"/>
    <w:rsid w:val="00D20DB0"/>
    <w:rsid w:val="00D21FFA"/>
    <w:rsid w:val="00D22BCA"/>
    <w:rsid w:val="00D23372"/>
    <w:rsid w:val="00D23442"/>
    <w:rsid w:val="00D235CF"/>
    <w:rsid w:val="00D245D8"/>
    <w:rsid w:val="00D24C6C"/>
    <w:rsid w:val="00D25397"/>
    <w:rsid w:val="00D256A8"/>
    <w:rsid w:val="00D25F17"/>
    <w:rsid w:val="00D26359"/>
    <w:rsid w:val="00D26C5E"/>
    <w:rsid w:val="00D302BB"/>
    <w:rsid w:val="00D30BEA"/>
    <w:rsid w:val="00D3206F"/>
    <w:rsid w:val="00D322DB"/>
    <w:rsid w:val="00D327FC"/>
    <w:rsid w:val="00D33F27"/>
    <w:rsid w:val="00D34B50"/>
    <w:rsid w:val="00D3518D"/>
    <w:rsid w:val="00D35A67"/>
    <w:rsid w:val="00D35C33"/>
    <w:rsid w:val="00D35E7E"/>
    <w:rsid w:val="00D36376"/>
    <w:rsid w:val="00D36545"/>
    <w:rsid w:val="00D367FC"/>
    <w:rsid w:val="00D37434"/>
    <w:rsid w:val="00D408B9"/>
    <w:rsid w:val="00D41B4D"/>
    <w:rsid w:val="00D4264F"/>
    <w:rsid w:val="00D42C7F"/>
    <w:rsid w:val="00D4346A"/>
    <w:rsid w:val="00D4382C"/>
    <w:rsid w:val="00D43E66"/>
    <w:rsid w:val="00D45E8D"/>
    <w:rsid w:val="00D46CBB"/>
    <w:rsid w:val="00D4755B"/>
    <w:rsid w:val="00D47864"/>
    <w:rsid w:val="00D47EB0"/>
    <w:rsid w:val="00D47ECE"/>
    <w:rsid w:val="00D47FA3"/>
    <w:rsid w:val="00D5298E"/>
    <w:rsid w:val="00D52D68"/>
    <w:rsid w:val="00D53979"/>
    <w:rsid w:val="00D539F3"/>
    <w:rsid w:val="00D53BE6"/>
    <w:rsid w:val="00D53C61"/>
    <w:rsid w:val="00D542AD"/>
    <w:rsid w:val="00D5448F"/>
    <w:rsid w:val="00D544FF"/>
    <w:rsid w:val="00D545FB"/>
    <w:rsid w:val="00D547CE"/>
    <w:rsid w:val="00D54FD9"/>
    <w:rsid w:val="00D5660D"/>
    <w:rsid w:val="00D567BD"/>
    <w:rsid w:val="00D567FE"/>
    <w:rsid w:val="00D57F03"/>
    <w:rsid w:val="00D60117"/>
    <w:rsid w:val="00D60197"/>
    <w:rsid w:val="00D6042E"/>
    <w:rsid w:val="00D60779"/>
    <w:rsid w:val="00D61497"/>
    <w:rsid w:val="00D618B7"/>
    <w:rsid w:val="00D61904"/>
    <w:rsid w:val="00D62858"/>
    <w:rsid w:val="00D62B34"/>
    <w:rsid w:val="00D63FB6"/>
    <w:rsid w:val="00D6496F"/>
    <w:rsid w:val="00D65CE8"/>
    <w:rsid w:val="00D668FA"/>
    <w:rsid w:val="00D66F87"/>
    <w:rsid w:val="00D70669"/>
    <w:rsid w:val="00D70741"/>
    <w:rsid w:val="00D7086A"/>
    <w:rsid w:val="00D710F0"/>
    <w:rsid w:val="00D714B3"/>
    <w:rsid w:val="00D717A0"/>
    <w:rsid w:val="00D7194D"/>
    <w:rsid w:val="00D73249"/>
    <w:rsid w:val="00D73B5B"/>
    <w:rsid w:val="00D73BA6"/>
    <w:rsid w:val="00D7449F"/>
    <w:rsid w:val="00D74B5F"/>
    <w:rsid w:val="00D74DAB"/>
    <w:rsid w:val="00D76114"/>
    <w:rsid w:val="00D77013"/>
    <w:rsid w:val="00D77101"/>
    <w:rsid w:val="00D771E8"/>
    <w:rsid w:val="00D802E3"/>
    <w:rsid w:val="00D8034D"/>
    <w:rsid w:val="00D81535"/>
    <w:rsid w:val="00D8253F"/>
    <w:rsid w:val="00D82A2E"/>
    <w:rsid w:val="00D83008"/>
    <w:rsid w:val="00D87630"/>
    <w:rsid w:val="00D90058"/>
    <w:rsid w:val="00D903C6"/>
    <w:rsid w:val="00D915C1"/>
    <w:rsid w:val="00D917AC"/>
    <w:rsid w:val="00D91E89"/>
    <w:rsid w:val="00D92528"/>
    <w:rsid w:val="00D92687"/>
    <w:rsid w:val="00D9305A"/>
    <w:rsid w:val="00D939A3"/>
    <w:rsid w:val="00D940AA"/>
    <w:rsid w:val="00D94C13"/>
    <w:rsid w:val="00D95207"/>
    <w:rsid w:val="00D954AA"/>
    <w:rsid w:val="00D97C9A"/>
    <w:rsid w:val="00DA09C4"/>
    <w:rsid w:val="00DA11CB"/>
    <w:rsid w:val="00DA1A80"/>
    <w:rsid w:val="00DA2582"/>
    <w:rsid w:val="00DA26B8"/>
    <w:rsid w:val="00DA2BA2"/>
    <w:rsid w:val="00DA2D3E"/>
    <w:rsid w:val="00DA2E23"/>
    <w:rsid w:val="00DA2F6B"/>
    <w:rsid w:val="00DA4114"/>
    <w:rsid w:val="00DA5549"/>
    <w:rsid w:val="00DA5A17"/>
    <w:rsid w:val="00DB071C"/>
    <w:rsid w:val="00DB15A0"/>
    <w:rsid w:val="00DB1824"/>
    <w:rsid w:val="00DB1AC0"/>
    <w:rsid w:val="00DB1FE4"/>
    <w:rsid w:val="00DB281A"/>
    <w:rsid w:val="00DB28EF"/>
    <w:rsid w:val="00DB2BE4"/>
    <w:rsid w:val="00DB3122"/>
    <w:rsid w:val="00DB4FAE"/>
    <w:rsid w:val="00DB5048"/>
    <w:rsid w:val="00DB5488"/>
    <w:rsid w:val="00DB71DD"/>
    <w:rsid w:val="00DB71E2"/>
    <w:rsid w:val="00DB75E7"/>
    <w:rsid w:val="00DB7C2A"/>
    <w:rsid w:val="00DC07BC"/>
    <w:rsid w:val="00DC1119"/>
    <w:rsid w:val="00DC1839"/>
    <w:rsid w:val="00DC19BE"/>
    <w:rsid w:val="00DC237B"/>
    <w:rsid w:val="00DC2BB0"/>
    <w:rsid w:val="00DC3809"/>
    <w:rsid w:val="00DC3F41"/>
    <w:rsid w:val="00DC43AE"/>
    <w:rsid w:val="00DC5373"/>
    <w:rsid w:val="00DC6D65"/>
    <w:rsid w:val="00DC6F7E"/>
    <w:rsid w:val="00DC727E"/>
    <w:rsid w:val="00DC76CB"/>
    <w:rsid w:val="00DC7F91"/>
    <w:rsid w:val="00DD0468"/>
    <w:rsid w:val="00DD11CF"/>
    <w:rsid w:val="00DD1F2E"/>
    <w:rsid w:val="00DD1FA1"/>
    <w:rsid w:val="00DD23F3"/>
    <w:rsid w:val="00DD303A"/>
    <w:rsid w:val="00DD37E2"/>
    <w:rsid w:val="00DD3E8E"/>
    <w:rsid w:val="00DD3ED6"/>
    <w:rsid w:val="00DD4AE9"/>
    <w:rsid w:val="00DD4C75"/>
    <w:rsid w:val="00DD51C4"/>
    <w:rsid w:val="00DD6A39"/>
    <w:rsid w:val="00DE0470"/>
    <w:rsid w:val="00DE06C4"/>
    <w:rsid w:val="00DE0D81"/>
    <w:rsid w:val="00DE33AA"/>
    <w:rsid w:val="00DE383A"/>
    <w:rsid w:val="00DE4984"/>
    <w:rsid w:val="00DE4C7B"/>
    <w:rsid w:val="00DE550D"/>
    <w:rsid w:val="00DE5712"/>
    <w:rsid w:val="00DE590D"/>
    <w:rsid w:val="00DE5A27"/>
    <w:rsid w:val="00DE663F"/>
    <w:rsid w:val="00DE6A43"/>
    <w:rsid w:val="00DF0DBC"/>
    <w:rsid w:val="00DF1B57"/>
    <w:rsid w:val="00DF21D8"/>
    <w:rsid w:val="00DF2A8D"/>
    <w:rsid w:val="00DF5C2F"/>
    <w:rsid w:val="00DF6270"/>
    <w:rsid w:val="00DF6A6F"/>
    <w:rsid w:val="00DF6E0B"/>
    <w:rsid w:val="00DF6F28"/>
    <w:rsid w:val="00DF720E"/>
    <w:rsid w:val="00DF7302"/>
    <w:rsid w:val="00DF7456"/>
    <w:rsid w:val="00E00E8B"/>
    <w:rsid w:val="00E010B3"/>
    <w:rsid w:val="00E026DD"/>
    <w:rsid w:val="00E02C1A"/>
    <w:rsid w:val="00E02EBE"/>
    <w:rsid w:val="00E0324C"/>
    <w:rsid w:val="00E032F9"/>
    <w:rsid w:val="00E03A2C"/>
    <w:rsid w:val="00E03C28"/>
    <w:rsid w:val="00E03EED"/>
    <w:rsid w:val="00E042F0"/>
    <w:rsid w:val="00E0431D"/>
    <w:rsid w:val="00E0437A"/>
    <w:rsid w:val="00E04A8F"/>
    <w:rsid w:val="00E04FD1"/>
    <w:rsid w:val="00E052A1"/>
    <w:rsid w:val="00E05D58"/>
    <w:rsid w:val="00E071D4"/>
    <w:rsid w:val="00E10688"/>
    <w:rsid w:val="00E1118C"/>
    <w:rsid w:val="00E1134F"/>
    <w:rsid w:val="00E13BBF"/>
    <w:rsid w:val="00E14079"/>
    <w:rsid w:val="00E14884"/>
    <w:rsid w:val="00E14D3E"/>
    <w:rsid w:val="00E1525E"/>
    <w:rsid w:val="00E157AB"/>
    <w:rsid w:val="00E1712B"/>
    <w:rsid w:val="00E17817"/>
    <w:rsid w:val="00E2048B"/>
    <w:rsid w:val="00E209D8"/>
    <w:rsid w:val="00E2214C"/>
    <w:rsid w:val="00E221C2"/>
    <w:rsid w:val="00E248B9"/>
    <w:rsid w:val="00E248C8"/>
    <w:rsid w:val="00E25251"/>
    <w:rsid w:val="00E257DF"/>
    <w:rsid w:val="00E2584F"/>
    <w:rsid w:val="00E2692E"/>
    <w:rsid w:val="00E30548"/>
    <w:rsid w:val="00E30F51"/>
    <w:rsid w:val="00E31A58"/>
    <w:rsid w:val="00E322A3"/>
    <w:rsid w:val="00E32CDA"/>
    <w:rsid w:val="00E331A9"/>
    <w:rsid w:val="00E33871"/>
    <w:rsid w:val="00E35205"/>
    <w:rsid w:val="00E356B9"/>
    <w:rsid w:val="00E35827"/>
    <w:rsid w:val="00E35AB7"/>
    <w:rsid w:val="00E35B10"/>
    <w:rsid w:val="00E35E79"/>
    <w:rsid w:val="00E360BB"/>
    <w:rsid w:val="00E368AA"/>
    <w:rsid w:val="00E36953"/>
    <w:rsid w:val="00E37AD9"/>
    <w:rsid w:val="00E40207"/>
    <w:rsid w:val="00E40A47"/>
    <w:rsid w:val="00E4157E"/>
    <w:rsid w:val="00E427E1"/>
    <w:rsid w:val="00E42FC5"/>
    <w:rsid w:val="00E43809"/>
    <w:rsid w:val="00E43E42"/>
    <w:rsid w:val="00E44063"/>
    <w:rsid w:val="00E440D5"/>
    <w:rsid w:val="00E44F48"/>
    <w:rsid w:val="00E451C9"/>
    <w:rsid w:val="00E45CEA"/>
    <w:rsid w:val="00E46F08"/>
    <w:rsid w:val="00E47245"/>
    <w:rsid w:val="00E5176D"/>
    <w:rsid w:val="00E51BCB"/>
    <w:rsid w:val="00E52E24"/>
    <w:rsid w:val="00E54C1A"/>
    <w:rsid w:val="00E55AC8"/>
    <w:rsid w:val="00E55CB5"/>
    <w:rsid w:val="00E55F92"/>
    <w:rsid w:val="00E565C2"/>
    <w:rsid w:val="00E603DE"/>
    <w:rsid w:val="00E60923"/>
    <w:rsid w:val="00E60E71"/>
    <w:rsid w:val="00E615F5"/>
    <w:rsid w:val="00E61941"/>
    <w:rsid w:val="00E61A22"/>
    <w:rsid w:val="00E6277B"/>
    <w:rsid w:val="00E62A5C"/>
    <w:rsid w:val="00E62D0C"/>
    <w:rsid w:val="00E62EC0"/>
    <w:rsid w:val="00E63455"/>
    <w:rsid w:val="00E63806"/>
    <w:rsid w:val="00E640A0"/>
    <w:rsid w:val="00E652F6"/>
    <w:rsid w:val="00E65C7D"/>
    <w:rsid w:val="00E6714D"/>
    <w:rsid w:val="00E67519"/>
    <w:rsid w:val="00E6752F"/>
    <w:rsid w:val="00E67E23"/>
    <w:rsid w:val="00E71B07"/>
    <w:rsid w:val="00E72B90"/>
    <w:rsid w:val="00E72CB8"/>
    <w:rsid w:val="00E73347"/>
    <w:rsid w:val="00E73662"/>
    <w:rsid w:val="00E73D07"/>
    <w:rsid w:val="00E73D93"/>
    <w:rsid w:val="00E7507A"/>
    <w:rsid w:val="00E7540C"/>
    <w:rsid w:val="00E75638"/>
    <w:rsid w:val="00E75A9F"/>
    <w:rsid w:val="00E761B2"/>
    <w:rsid w:val="00E773B4"/>
    <w:rsid w:val="00E80095"/>
    <w:rsid w:val="00E8027A"/>
    <w:rsid w:val="00E8121D"/>
    <w:rsid w:val="00E83742"/>
    <w:rsid w:val="00E83C79"/>
    <w:rsid w:val="00E83E19"/>
    <w:rsid w:val="00E84086"/>
    <w:rsid w:val="00E84223"/>
    <w:rsid w:val="00E842AB"/>
    <w:rsid w:val="00E851CE"/>
    <w:rsid w:val="00E8521C"/>
    <w:rsid w:val="00E852A0"/>
    <w:rsid w:val="00E85AD7"/>
    <w:rsid w:val="00E8607F"/>
    <w:rsid w:val="00E86403"/>
    <w:rsid w:val="00E86DD6"/>
    <w:rsid w:val="00E8734D"/>
    <w:rsid w:val="00E879C4"/>
    <w:rsid w:val="00E87A57"/>
    <w:rsid w:val="00E9190A"/>
    <w:rsid w:val="00E921F3"/>
    <w:rsid w:val="00E922FB"/>
    <w:rsid w:val="00E92303"/>
    <w:rsid w:val="00E9316D"/>
    <w:rsid w:val="00E937B2"/>
    <w:rsid w:val="00E9385C"/>
    <w:rsid w:val="00E93B2A"/>
    <w:rsid w:val="00E94A81"/>
    <w:rsid w:val="00E95A17"/>
    <w:rsid w:val="00E96F52"/>
    <w:rsid w:val="00E9716F"/>
    <w:rsid w:val="00E97EB0"/>
    <w:rsid w:val="00EA02A5"/>
    <w:rsid w:val="00EA044F"/>
    <w:rsid w:val="00EA0646"/>
    <w:rsid w:val="00EA0841"/>
    <w:rsid w:val="00EA0D0D"/>
    <w:rsid w:val="00EA127A"/>
    <w:rsid w:val="00EA2A19"/>
    <w:rsid w:val="00EA2F57"/>
    <w:rsid w:val="00EA4336"/>
    <w:rsid w:val="00EA43C9"/>
    <w:rsid w:val="00EA4F14"/>
    <w:rsid w:val="00EA543F"/>
    <w:rsid w:val="00EA5670"/>
    <w:rsid w:val="00EA6827"/>
    <w:rsid w:val="00EA6E1F"/>
    <w:rsid w:val="00EA6F49"/>
    <w:rsid w:val="00EA6FB9"/>
    <w:rsid w:val="00EB0E78"/>
    <w:rsid w:val="00EB13DF"/>
    <w:rsid w:val="00EB1950"/>
    <w:rsid w:val="00EB1B39"/>
    <w:rsid w:val="00EB1B57"/>
    <w:rsid w:val="00EB4811"/>
    <w:rsid w:val="00EB4B24"/>
    <w:rsid w:val="00EB4DDB"/>
    <w:rsid w:val="00EB4E09"/>
    <w:rsid w:val="00EB4EA3"/>
    <w:rsid w:val="00EB6F7D"/>
    <w:rsid w:val="00EB7668"/>
    <w:rsid w:val="00EC1158"/>
    <w:rsid w:val="00EC11E9"/>
    <w:rsid w:val="00EC264F"/>
    <w:rsid w:val="00EC2E30"/>
    <w:rsid w:val="00EC3078"/>
    <w:rsid w:val="00EC44ED"/>
    <w:rsid w:val="00EC57AA"/>
    <w:rsid w:val="00EC5CE2"/>
    <w:rsid w:val="00EC5F98"/>
    <w:rsid w:val="00EC7046"/>
    <w:rsid w:val="00EC77CF"/>
    <w:rsid w:val="00ED0195"/>
    <w:rsid w:val="00ED02BE"/>
    <w:rsid w:val="00ED15C0"/>
    <w:rsid w:val="00ED1847"/>
    <w:rsid w:val="00ED18B5"/>
    <w:rsid w:val="00ED1FD6"/>
    <w:rsid w:val="00ED3308"/>
    <w:rsid w:val="00ED3358"/>
    <w:rsid w:val="00ED4104"/>
    <w:rsid w:val="00ED43F4"/>
    <w:rsid w:val="00ED4562"/>
    <w:rsid w:val="00ED45CB"/>
    <w:rsid w:val="00ED4ADE"/>
    <w:rsid w:val="00ED4B3E"/>
    <w:rsid w:val="00ED5031"/>
    <w:rsid w:val="00ED5230"/>
    <w:rsid w:val="00ED60ED"/>
    <w:rsid w:val="00ED674A"/>
    <w:rsid w:val="00ED6EFF"/>
    <w:rsid w:val="00ED7250"/>
    <w:rsid w:val="00ED7A6C"/>
    <w:rsid w:val="00EE0164"/>
    <w:rsid w:val="00EE05C8"/>
    <w:rsid w:val="00EE0870"/>
    <w:rsid w:val="00EE144F"/>
    <w:rsid w:val="00EE16CA"/>
    <w:rsid w:val="00EE34B7"/>
    <w:rsid w:val="00EE3D1B"/>
    <w:rsid w:val="00EE5C1F"/>
    <w:rsid w:val="00EE5C9E"/>
    <w:rsid w:val="00EE65FE"/>
    <w:rsid w:val="00EE66FC"/>
    <w:rsid w:val="00EE735C"/>
    <w:rsid w:val="00EE7AEB"/>
    <w:rsid w:val="00EF049E"/>
    <w:rsid w:val="00EF04EE"/>
    <w:rsid w:val="00EF0851"/>
    <w:rsid w:val="00EF085C"/>
    <w:rsid w:val="00EF1685"/>
    <w:rsid w:val="00EF1687"/>
    <w:rsid w:val="00EF1D5F"/>
    <w:rsid w:val="00EF1DE8"/>
    <w:rsid w:val="00EF1FF2"/>
    <w:rsid w:val="00EF2547"/>
    <w:rsid w:val="00EF2973"/>
    <w:rsid w:val="00EF32E6"/>
    <w:rsid w:val="00EF3B21"/>
    <w:rsid w:val="00EF3B6D"/>
    <w:rsid w:val="00EF3D6B"/>
    <w:rsid w:val="00EF3FC9"/>
    <w:rsid w:val="00EF40BE"/>
    <w:rsid w:val="00EF459D"/>
    <w:rsid w:val="00EF4CCF"/>
    <w:rsid w:val="00EF4E67"/>
    <w:rsid w:val="00EF4FB7"/>
    <w:rsid w:val="00EF7875"/>
    <w:rsid w:val="00EF7C51"/>
    <w:rsid w:val="00EF7C5A"/>
    <w:rsid w:val="00EF7EDC"/>
    <w:rsid w:val="00F00585"/>
    <w:rsid w:val="00F00BFD"/>
    <w:rsid w:val="00F00DAF"/>
    <w:rsid w:val="00F02F33"/>
    <w:rsid w:val="00F0370B"/>
    <w:rsid w:val="00F03BF7"/>
    <w:rsid w:val="00F04CBE"/>
    <w:rsid w:val="00F04D4E"/>
    <w:rsid w:val="00F04E9C"/>
    <w:rsid w:val="00F04FA2"/>
    <w:rsid w:val="00F067D3"/>
    <w:rsid w:val="00F072EB"/>
    <w:rsid w:val="00F0733F"/>
    <w:rsid w:val="00F07D34"/>
    <w:rsid w:val="00F07E7A"/>
    <w:rsid w:val="00F07F8D"/>
    <w:rsid w:val="00F10BE8"/>
    <w:rsid w:val="00F11A8E"/>
    <w:rsid w:val="00F125E0"/>
    <w:rsid w:val="00F133DC"/>
    <w:rsid w:val="00F13EE9"/>
    <w:rsid w:val="00F14C44"/>
    <w:rsid w:val="00F14C95"/>
    <w:rsid w:val="00F154CA"/>
    <w:rsid w:val="00F1661C"/>
    <w:rsid w:val="00F1711A"/>
    <w:rsid w:val="00F17819"/>
    <w:rsid w:val="00F178FA"/>
    <w:rsid w:val="00F206EE"/>
    <w:rsid w:val="00F2140B"/>
    <w:rsid w:val="00F21988"/>
    <w:rsid w:val="00F21D2D"/>
    <w:rsid w:val="00F22C44"/>
    <w:rsid w:val="00F22DBC"/>
    <w:rsid w:val="00F23152"/>
    <w:rsid w:val="00F23E3C"/>
    <w:rsid w:val="00F2417F"/>
    <w:rsid w:val="00F24A7D"/>
    <w:rsid w:val="00F24C99"/>
    <w:rsid w:val="00F250D6"/>
    <w:rsid w:val="00F25198"/>
    <w:rsid w:val="00F25E9E"/>
    <w:rsid w:val="00F25F44"/>
    <w:rsid w:val="00F2714D"/>
    <w:rsid w:val="00F278D1"/>
    <w:rsid w:val="00F27D6E"/>
    <w:rsid w:val="00F27F33"/>
    <w:rsid w:val="00F30288"/>
    <w:rsid w:val="00F30430"/>
    <w:rsid w:val="00F30953"/>
    <w:rsid w:val="00F30FEC"/>
    <w:rsid w:val="00F31558"/>
    <w:rsid w:val="00F315BD"/>
    <w:rsid w:val="00F31DDF"/>
    <w:rsid w:val="00F321AA"/>
    <w:rsid w:val="00F32264"/>
    <w:rsid w:val="00F356CC"/>
    <w:rsid w:val="00F3657D"/>
    <w:rsid w:val="00F36E57"/>
    <w:rsid w:val="00F36FE1"/>
    <w:rsid w:val="00F3741E"/>
    <w:rsid w:val="00F375C7"/>
    <w:rsid w:val="00F4091A"/>
    <w:rsid w:val="00F40BEB"/>
    <w:rsid w:val="00F419B0"/>
    <w:rsid w:val="00F41D83"/>
    <w:rsid w:val="00F42B7A"/>
    <w:rsid w:val="00F42BA2"/>
    <w:rsid w:val="00F430AF"/>
    <w:rsid w:val="00F43552"/>
    <w:rsid w:val="00F43578"/>
    <w:rsid w:val="00F4393B"/>
    <w:rsid w:val="00F4461F"/>
    <w:rsid w:val="00F448E5"/>
    <w:rsid w:val="00F44A54"/>
    <w:rsid w:val="00F44B68"/>
    <w:rsid w:val="00F44C64"/>
    <w:rsid w:val="00F44F9F"/>
    <w:rsid w:val="00F45789"/>
    <w:rsid w:val="00F45904"/>
    <w:rsid w:val="00F45E34"/>
    <w:rsid w:val="00F46826"/>
    <w:rsid w:val="00F47317"/>
    <w:rsid w:val="00F47D38"/>
    <w:rsid w:val="00F50436"/>
    <w:rsid w:val="00F50AFF"/>
    <w:rsid w:val="00F50CD6"/>
    <w:rsid w:val="00F50DEF"/>
    <w:rsid w:val="00F50EDC"/>
    <w:rsid w:val="00F51EE6"/>
    <w:rsid w:val="00F5241F"/>
    <w:rsid w:val="00F527F7"/>
    <w:rsid w:val="00F52B3A"/>
    <w:rsid w:val="00F53914"/>
    <w:rsid w:val="00F5431D"/>
    <w:rsid w:val="00F54C2C"/>
    <w:rsid w:val="00F56097"/>
    <w:rsid w:val="00F56726"/>
    <w:rsid w:val="00F56C5C"/>
    <w:rsid w:val="00F5705D"/>
    <w:rsid w:val="00F57A06"/>
    <w:rsid w:val="00F61543"/>
    <w:rsid w:val="00F61ED5"/>
    <w:rsid w:val="00F62909"/>
    <w:rsid w:val="00F629C8"/>
    <w:rsid w:val="00F62F71"/>
    <w:rsid w:val="00F6302E"/>
    <w:rsid w:val="00F636A8"/>
    <w:rsid w:val="00F63EA0"/>
    <w:rsid w:val="00F6404B"/>
    <w:rsid w:val="00F64D40"/>
    <w:rsid w:val="00F654FC"/>
    <w:rsid w:val="00F65552"/>
    <w:rsid w:val="00F65A6B"/>
    <w:rsid w:val="00F664BF"/>
    <w:rsid w:val="00F6680D"/>
    <w:rsid w:val="00F672A2"/>
    <w:rsid w:val="00F67F15"/>
    <w:rsid w:val="00F70B74"/>
    <w:rsid w:val="00F70CE8"/>
    <w:rsid w:val="00F71338"/>
    <w:rsid w:val="00F713C9"/>
    <w:rsid w:val="00F72373"/>
    <w:rsid w:val="00F72644"/>
    <w:rsid w:val="00F742C5"/>
    <w:rsid w:val="00F7431A"/>
    <w:rsid w:val="00F74606"/>
    <w:rsid w:val="00F74C86"/>
    <w:rsid w:val="00F756B6"/>
    <w:rsid w:val="00F75A99"/>
    <w:rsid w:val="00F75E2D"/>
    <w:rsid w:val="00F760B2"/>
    <w:rsid w:val="00F760DA"/>
    <w:rsid w:val="00F76CE2"/>
    <w:rsid w:val="00F76FA7"/>
    <w:rsid w:val="00F77F17"/>
    <w:rsid w:val="00F81345"/>
    <w:rsid w:val="00F81586"/>
    <w:rsid w:val="00F818F0"/>
    <w:rsid w:val="00F82115"/>
    <w:rsid w:val="00F83228"/>
    <w:rsid w:val="00F84386"/>
    <w:rsid w:val="00F84726"/>
    <w:rsid w:val="00F84D1A"/>
    <w:rsid w:val="00F86400"/>
    <w:rsid w:val="00F864FF"/>
    <w:rsid w:val="00F86A0B"/>
    <w:rsid w:val="00F87413"/>
    <w:rsid w:val="00F87B3A"/>
    <w:rsid w:val="00F9165F"/>
    <w:rsid w:val="00F9210B"/>
    <w:rsid w:val="00F9212D"/>
    <w:rsid w:val="00F92ADD"/>
    <w:rsid w:val="00F93BE4"/>
    <w:rsid w:val="00F94092"/>
    <w:rsid w:val="00F95330"/>
    <w:rsid w:val="00F95CC7"/>
    <w:rsid w:val="00F963EF"/>
    <w:rsid w:val="00F96661"/>
    <w:rsid w:val="00F97DE9"/>
    <w:rsid w:val="00FA0769"/>
    <w:rsid w:val="00FA1FF0"/>
    <w:rsid w:val="00FA212D"/>
    <w:rsid w:val="00FA22E0"/>
    <w:rsid w:val="00FA24D4"/>
    <w:rsid w:val="00FA3053"/>
    <w:rsid w:val="00FA321C"/>
    <w:rsid w:val="00FA3ADD"/>
    <w:rsid w:val="00FA41A6"/>
    <w:rsid w:val="00FA4200"/>
    <w:rsid w:val="00FA48FB"/>
    <w:rsid w:val="00FA5AB7"/>
    <w:rsid w:val="00FA5D47"/>
    <w:rsid w:val="00FA6EFD"/>
    <w:rsid w:val="00FA7743"/>
    <w:rsid w:val="00FA7F7F"/>
    <w:rsid w:val="00FB049E"/>
    <w:rsid w:val="00FB0B33"/>
    <w:rsid w:val="00FB0E2C"/>
    <w:rsid w:val="00FB1FA0"/>
    <w:rsid w:val="00FB203A"/>
    <w:rsid w:val="00FB26A7"/>
    <w:rsid w:val="00FB284D"/>
    <w:rsid w:val="00FB3303"/>
    <w:rsid w:val="00FB335B"/>
    <w:rsid w:val="00FB444B"/>
    <w:rsid w:val="00FB4D94"/>
    <w:rsid w:val="00FB521D"/>
    <w:rsid w:val="00FB5261"/>
    <w:rsid w:val="00FB5463"/>
    <w:rsid w:val="00FB62D6"/>
    <w:rsid w:val="00FB7A09"/>
    <w:rsid w:val="00FC05CD"/>
    <w:rsid w:val="00FC0C7E"/>
    <w:rsid w:val="00FC0E81"/>
    <w:rsid w:val="00FC1054"/>
    <w:rsid w:val="00FC176C"/>
    <w:rsid w:val="00FC1A51"/>
    <w:rsid w:val="00FC1B12"/>
    <w:rsid w:val="00FC1C53"/>
    <w:rsid w:val="00FC4403"/>
    <w:rsid w:val="00FC4B18"/>
    <w:rsid w:val="00FC4B21"/>
    <w:rsid w:val="00FC672F"/>
    <w:rsid w:val="00FC7F17"/>
    <w:rsid w:val="00FD0443"/>
    <w:rsid w:val="00FD0B78"/>
    <w:rsid w:val="00FD160C"/>
    <w:rsid w:val="00FD1649"/>
    <w:rsid w:val="00FD2A40"/>
    <w:rsid w:val="00FD2AFB"/>
    <w:rsid w:val="00FD599D"/>
    <w:rsid w:val="00FD79E9"/>
    <w:rsid w:val="00FD7D24"/>
    <w:rsid w:val="00FE0A6F"/>
    <w:rsid w:val="00FE1200"/>
    <w:rsid w:val="00FE131C"/>
    <w:rsid w:val="00FE1C58"/>
    <w:rsid w:val="00FE1E24"/>
    <w:rsid w:val="00FE23E5"/>
    <w:rsid w:val="00FE4B48"/>
    <w:rsid w:val="00FE5656"/>
    <w:rsid w:val="00FE5DFC"/>
    <w:rsid w:val="00FE61CA"/>
    <w:rsid w:val="00FF1010"/>
    <w:rsid w:val="00FF1118"/>
    <w:rsid w:val="00FF155B"/>
    <w:rsid w:val="00FF2A07"/>
    <w:rsid w:val="00FF2CDE"/>
    <w:rsid w:val="00FF34DD"/>
    <w:rsid w:val="00FF39EB"/>
    <w:rsid w:val="00FF39F2"/>
    <w:rsid w:val="00FF45DB"/>
    <w:rsid w:val="00FF53B2"/>
    <w:rsid w:val="00FF589A"/>
    <w:rsid w:val="00FF59D8"/>
    <w:rsid w:val="00FF5FAF"/>
    <w:rsid w:val="00FF6013"/>
    <w:rsid w:val="00FF6312"/>
    <w:rsid w:val="00FF6545"/>
    <w:rsid w:val="00FF6FBB"/>
    <w:rsid w:val="00FF7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C15AB"/>
  <w15:chartTrackingRefBased/>
  <w15:docId w15:val="{6617550E-203B-4660-BE61-BBE65044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B046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B046E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tabs>
        <w:tab w:val="clear" w:pos="1418"/>
        <w:tab w:val="num" w:pos="1287"/>
      </w:tabs>
      <w:suppressAutoHyphens/>
      <w:spacing w:before="240" w:after="240"/>
      <w:ind w:left="1134" w:hanging="567"/>
      <w:jc w:val="both"/>
      <w:outlineLvl w:val="1"/>
    </w:pPr>
    <w:rPr>
      <w:szCs w:val="20"/>
    </w:rPr>
  </w:style>
  <w:style w:type="paragraph" w:customStyle="1" w:styleId="ParaLevel3">
    <w:name w:val="ParaLevel3"/>
    <w:basedOn w:val="Normal"/>
    <w:pPr>
      <w:numPr>
        <w:ilvl w:val="2"/>
        <w:numId w:val="3"/>
      </w:numPr>
      <w:tabs>
        <w:tab w:val="clear" w:pos="2127"/>
        <w:tab w:val="num" w:pos="1854"/>
      </w:tabs>
      <w:suppressAutoHyphens/>
      <w:spacing w:before="240" w:after="240"/>
      <w:ind w:left="1701" w:hanging="567"/>
      <w:jc w:val="both"/>
      <w:outlineLvl w:val="2"/>
    </w:pPr>
    <w:rPr>
      <w:szCs w:val="20"/>
    </w:rPr>
  </w:style>
  <w:style w:type="paragraph" w:customStyle="1" w:styleId="ParaLevel4">
    <w:name w:val="ParaLevel4"/>
    <w:basedOn w:val="Normal"/>
    <w:pPr>
      <w:numPr>
        <w:ilvl w:val="3"/>
        <w:numId w:val="4"/>
      </w:numPr>
      <w:tabs>
        <w:tab w:val="clear" w:pos="2836"/>
        <w:tab w:val="num" w:pos="2421"/>
      </w:tabs>
      <w:suppressAutoHyphens/>
      <w:spacing w:before="240" w:after="240"/>
      <w:ind w:left="2268" w:hanging="567"/>
      <w:jc w:val="both"/>
      <w:outlineLvl w:val="3"/>
    </w:pPr>
    <w:rPr>
      <w:szCs w:val="20"/>
    </w:rPr>
  </w:style>
  <w:style w:type="paragraph" w:customStyle="1" w:styleId="ParaLevel5">
    <w:name w:val="ParaLevel5"/>
    <w:basedOn w:val="Normal"/>
    <w:pPr>
      <w:numPr>
        <w:ilvl w:val="4"/>
        <w:numId w:val="5"/>
      </w:numPr>
      <w:tabs>
        <w:tab w:val="clear" w:pos="3545"/>
        <w:tab w:val="num" w:pos="2988"/>
      </w:tabs>
      <w:suppressAutoHyphens/>
      <w:spacing w:before="240" w:after="240"/>
      <w:ind w:left="2835" w:hanging="567"/>
      <w:jc w:val="both"/>
      <w:outlineLvl w:val="4"/>
    </w:pPr>
    <w:rPr>
      <w:szCs w:val="20"/>
    </w:rPr>
  </w:style>
  <w:style w:type="paragraph" w:customStyle="1" w:styleId="ParaLevel6">
    <w:name w:val="ParaLevel6"/>
    <w:basedOn w:val="Normal"/>
    <w:pPr>
      <w:numPr>
        <w:ilvl w:val="5"/>
        <w:numId w:val="6"/>
      </w:numPr>
      <w:tabs>
        <w:tab w:val="clear" w:pos="4254"/>
        <w:tab w:val="num" w:pos="3555"/>
      </w:tabs>
      <w:suppressAutoHyphens/>
      <w:spacing w:before="240" w:after="240"/>
      <w:ind w:left="3402" w:hanging="567"/>
      <w:jc w:val="both"/>
      <w:outlineLvl w:val="5"/>
    </w:pPr>
    <w:rPr>
      <w:szCs w:val="20"/>
    </w:rPr>
  </w:style>
  <w:style w:type="paragraph" w:customStyle="1" w:styleId="ParaLevel7">
    <w:name w:val="ParaLevel7"/>
    <w:basedOn w:val="Normal"/>
    <w:pPr>
      <w:numPr>
        <w:ilvl w:val="6"/>
        <w:numId w:val="7"/>
      </w:numPr>
      <w:tabs>
        <w:tab w:val="clear" w:pos="4963"/>
        <w:tab w:val="num" w:pos="4122"/>
      </w:tabs>
      <w:suppressAutoHyphens/>
      <w:spacing w:before="240" w:after="240"/>
      <w:ind w:left="3969" w:hanging="567"/>
      <w:jc w:val="both"/>
      <w:outlineLvl w:val="6"/>
    </w:pPr>
    <w:rPr>
      <w:szCs w:val="20"/>
    </w:rPr>
  </w:style>
  <w:style w:type="paragraph" w:customStyle="1" w:styleId="ParaLevel8">
    <w:name w:val="ParaLevel8"/>
    <w:basedOn w:val="Normal"/>
    <w:pPr>
      <w:numPr>
        <w:ilvl w:val="7"/>
        <w:numId w:val="8"/>
      </w:numPr>
      <w:tabs>
        <w:tab w:val="clear" w:pos="5672"/>
        <w:tab w:val="num" w:pos="4689"/>
      </w:tabs>
      <w:suppressAutoHyphens/>
      <w:spacing w:before="240" w:after="240"/>
      <w:ind w:left="4536" w:hanging="567"/>
      <w:jc w:val="both"/>
      <w:outlineLvl w:val="7"/>
    </w:pPr>
    <w:rPr>
      <w:szCs w:val="20"/>
    </w:rPr>
  </w:style>
  <w:style w:type="paragraph" w:customStyle="1" w:styleId="ParaLevel9">
    <w:name w:val="ParaLevel9"/>
    <w:basedOn w:val="Normal"/>
    <w:pPr>
      <w:numPr>
        <w:ilvl w:val="8"/>
        <w:numId w:val="9"/>
      </w:numPr>
      <w:tabs>
        <w:tab w:val="clear" w:pos="6381"/>
        <w:tab w:val="num" w:pos="5256"/>
      </w:tabs>
      <w:suppressAutoHyphens/>
      <w:spacing w:before="240" w:after="240"/>
      <w:ind w:left="5103" w:hanging="567"/>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paragraph" w:customStyle="1" w:styleId="eMailBlock">
    <w:name w:val="eMailBlock"/>
    <w:basedOn w:val="Title"/>
    <w:rPr>
      <w:sz w:val="26"/>
    </w:rPr>
  </w:style>
  <w:style w:type="paragraph" w:styleId="ListParagraph">
    <w:name w:val="List Paragraph"/>
    <w:basedOn w:val="Normal"/>
    <w:uiPriority w:val="34"/>
    <w:qFormat/>
    <w:rsid w:val="00E46F08"/>
    <w:pPr>
      <w:ind w:left="720"/>
      <w:contextualSpacing/>
    </w:pPr>
  </w:style>
  <w:style w:type="paragraph" w:styleId="Subtitle">
    <w:name w:val="Subtitle"/>
    <w:basedOn w:val="Normal"/>
    <w:next w:val="Normal"/>
    <w:link w:val="SubtitleChar"/>
    <w:qFormat/>
    <w:rsid w:val="00FF5FAF"/>
    <w:pPr>
      <w:spacing w:after="120" w:line="360" w:lineRule="auto"/>
      <w:outlineLvl w:val="1"/>
    </w:pPr>
    <w:rPr>
      <w:rFonts w:ascii="Book Antiqua" w:hAnsi="Book Antiqua"/>
      <w:b/>
      <w:sz w:val="22"/>
      <w:u w:val="single"/>
      <w:lang w:eastAsia="en-GB"/>
    </w:rPr>
  </w:style>
  <w:style w:type="character" w:customStyle="1" w:styleId="SubtitleChar">
    <w:name w:val="Subtitle Char"/>
    <w:basedOn w:val="DefaultParagraphFont"/>
    <w:link w:val="Subtitle"/>
    <w:rsid w:val="00FF5FAF"/>
    <w:rPr>
      <w:rFonts w:ascii="Book Antiqua" w:hAnsi="Book Antiqua"/>
      <w:b/>
      <w:sz w:val="22"/>
      <w:szCs w:val="24"/>
      <w:u w:val="single"/>
    </w:rPr>
  </w:style>
  <w:style w:type="paragraph" w:customStyle="1" w:styleId="Quotation">
    <w:name w:val="Quotation"/>
    <w:basedOn w:val="Normal"/>
    <w:link w:val="QuotationChar"/>
    <w:qFormat/>
    <w:rsid w:val="00205891"/>
    <w:pPr>
      <w:spacing w:after="160"/>
      <w:ind w:left="1134" w:right="-46"/>
      <w:jc w:val="both"/>
    </w:pPr>
    <w:rPr>
      <w:rFonts w:ascii="Book Antiqua" w:eastAsiaTheme="minorHAnsi" w:hAnsi="Book Antiqua"/>
      <w:i/>
      <w:iCs/>
      <w:sz w:val="22"/>
      <w:szCs w:val="22"/>
    </w:rPr>
  </w:style>
  <w:style w:type="character" w:customStyle="1" w:styleId="QuotationChar">
    <w:name w:val="Quotation Char"/>
    <w:basedOn w:val="DefaultParagraphFont"/>
    <w:link w:val="Quotation"/>
    <w:rsid w:val="00205891"/>
    <w:rPr>
      <w:rFonts w:ascii="Book Antiqua" w:eastAsiaTheme="minorHAnsi" w:hAnsi="Book Antiqua"/>
      <w:i/>
      <w:iCs/>
      <w:sz w:val="22"/>
      <w:szCs w:val="22"/>
      <w:lang w:eastAsia="en-US"/>
    </w:rPr>
  </w:style>
  <w:style w:type="paragraph" w:customStyle="1" w:styleId="Text">
    <w:name w:val="Text"/>
    <w:basedOn w:val="ListParagraph"/>
    <w:link w:val="TextChar"/>
    <w:qFormat/>
    <w:rsid w:val="00CD2A50"/>
    <w:pPr>
      <w:numPr>
        <w:numId w:val="28"/>
      </w:numPr>
      <w:spacing w:after="160" w:line="360" w:lineRule="auto"/>
      <w:ind w:left="567" w:right="-46" w:hanging="567"/>
      <w:contextualSpacing w:val="0"/>
      <w:jc w:val="both"/>
    </w:pPr>
    <w:rPr>
      <w:rFonts w:ascii="Book Antiqua" w:eastAsiaTheme="minorHAnsi" w:hAnsi="Book Antiqua"/>
      <w:sz w:val="22"/>
      <w:szCs w:val="22"/>
    </w:rPr>
  </w:style>
  <w:style w:type="character" w:customStyle="1" w:styleId="TextChar">
    <w:name w:val="Text Char"/>
    <w:basedOn w:val="DefaultParagraphFont"/>
    <w:link w:val="Text"/>
    <w:rsid w:val="00CD2A50"/>
    <w:rPr>
      <w:rFonts w:ascii="Book Antiqua" w:eastAsiaTheme="minorHAnsi" w:hAnsi="Book Antiqua"/>
      <w:sz w:val="22"/>
      <w:szCs w:val="22"/>
      <w:lang w:eastAsia="en-US"/>
    </w:rPr>
  </w:style>
  <w:style w:type="paragraph" w:styleId="NormalWeb">
    <w:name w:val="Normal (Web)"/>
    <w:basedOn w:val="Normal"/>
    <w:rsid w:val="004313AB"/>
  </w:style>
  <w:style w:type="paragraph" w:styleId="FootnoteText">
    <w:name w:val="footnote text"/>
    <w:basedOn w:val="Normal"/>
    <w:link w:val="FootnoteTextChar"/>
    <w:uiPriority w:val="99"/>
    <w:rsid w:val="00AB6D34"/>
    <w:rPr>
      <w:sz w:val="20"/>
      <w:szCs w:val="20"/>
    </w:rPr>
  </w:style>
  <w:style w:type="character" w:customStyle="1" w:styleId="FootnoteTextChar">
    <w:name w:val="Footnote Text Char"/>
    <w:basedOn w:val="DefaultParagraphFont"/>
    <w:link w:val="FootnoteText"/>
    <w:uiPriority w:val="99"/>
    <w:rsid w:val="00AB6D34"/>
    <w:rPr>
      <w:lang w:eastAsia="en-US"/>
    </w:rPr>
  </w:style>
  <w:style w:type="character" w:styleId="FootnoteReference">
    <w:name w:val="footnote reference"/>
    <w:basedOn w:val="DefaultParagraphFont"/>
    <w:uiPriority w:val="99"/>
    <w:rsid w:val="00AB6D34"/>
    <w:rPr>
      <w:vertAlign w:val="superscript"/>
    </w:rPr>
  </w:style>
  <w:style w:type="character" w:styleId="Hyperlink">
    <w:name w:val="Hyperlink"/>
    <w:basedOn w:val="DefaultParagraphFont"/>
    <w:rsid w:val="00AB6D34"/>
    <w:rPr>
      <w:color w:val="0563C1" w:themeColor="hyperlink"/>
      <w:u w:val="single"/>
    </w:rPr>
  </w:style>
  <w:style w:type="character" w:styleId="UnresolvedMention">
    <w:name w:val="Unresolved Mention"/>
    <w:basedOn w:val="DefaultParagraphFont"/>
    <w:uiPriority w:val="99"/>
    <w:semiHidden/>
    <w:unhideWhenUsed/>
    <w:rsid w:val="00AB6D34"/>
    <w:rPr>
      <w:color w:val="605E5C"/>
      <w:shd w:val="clear" w:color="auto" w:fill="E1DFDD"/>
    </w:rPr>
  </w:style>
  <w:style w:type="character" w:customStyle="1" w:styleId="Heading2Char">
    <w:name w:val="Heading 2 Char"/>
    <w:basedOn w:val="DefaultParagraphFont"/>
    <w:link w:val="Heading2"/>
    <w:semiHidden/>
    <w:rsid w:val="00B046E1"/>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rsid w:val="00B046E1"/>
    <w:rPr>
      <w:rFonts w:asciiTheme="majorHAnsi" w:eastAsiaTheme="majorEastAsia" w:hAnsiTheme="majorHAnsi" w:cstheme="majorBidi"/>
      <w:color w:val="1F3763" w:themeColor="accent1" w:themeShade="7F"/>
      <w:sz w:val="24"/>
      <w:szCs w:val="24"/>
      <w:lang w:eastAsia="en-US"/>
    </w:rPr>
  </w:style>
  <w:style w:type="paragraph" w:customStyle="1" w:styleId="MixtureParaNo">
    <w:name w:val="Mixture Para No"/>
    <w:basedOn w:val="Normal"/>
    <w:link w:val="MixtureParaNoChar"/>
    <w:qFormat/>
    <w:rsid w:val="0057521D"/>
    <w:pPr>
      <w:widowControl w:val="0"/>
      <w:numPr>
        <w:numId w:val="47"/>
      </w:numPr>
      <w:tabs>
        <w:tab w:val="left" w:pos="720"/>
        <w:tab w:val="left" w:pos="1440"/>
        <w:tab w:val="left" w:pos="2160"/>
        <w:tab w:val="left" w:pos="2880"/>
        <w:tab w:val="left" w:pos="3600"/>
      </w:tabs>
      <w:spacing w:before="240" w:after="240" w:line="360" w:lineRule="auto"/>
      <w:jc w:val="both"/>
    </w:pPr>
    <w:rPr>
      <w:rFonts w:ascii="Garamond" w:hAnsi="Garamond"/>
    </w:rPr>
  </w:style>
  <w:style w:type="paragraph" w:customStyle="1" w:styleId="ParaNoNormal">
    <w:name w:val="Para No Normal"/>
    <w:basedOn w:val="Normal"/>
    <w:rsid w:val="0057521D"/>
    <w:pPr>
      <w:numPr>
        <w:numId w:val="46"/>
      </w:numPr>
      <w:tabs>
        <w:tab w:val="clear" w:pos="360"/>
        <w:tab w:val="left" w:leader="dot" w:pos="720"/>
        <w:tab w:val="left" w:pos="1440"/>
        <w:tab w:val="left" w:pos="2160"/>
        <w:tab w:val="left" w:pos="2880"/>
        <w:tab w:val="left" w:pos="3600"/>
        <w:tab w:val="left" w:pos="4320"/>
      </w:tabs>
      <w:spacing w:after="360" w:line="276" w:lineRule="auto"/>
      <w:ind w:left="681" w:hanging="681"/>
      <w:jc w:val="both"/>
    </w:pPr>
    <w:rPr>
      <w:rFonts w:ascii="Garamond" w:hAnsi="Garamond"/>
      <w:sz w:val="25"/>
      <w:szCs w:val="25"/>
    </w:rPr>
  </w:style>
  <w:style w:type="paragraph" w:customStyle="1" w:styleId="QuotationIndentdouble">
    <w:name w:val="Quotation Indent double"/>
    <w:basedOn w:val="Normal"/>
    <w:rsid w:val="0057521D"/>
    <w:pPr>
      <w:tabs>
        <w:tab w:val="left" w:pos="720"/>
        <w:tab w:val="left" w:pos="1440"/>
        <w:tab w:val="left" w:pos="2160"/>
        <w:tab w:val="left" w:pos="2880"/>
        <w:tab w:val="left" w:pos="3600"/>
        <w:tab w:val="left" w:pos="4320"/>
      </w:tabs>
      <w:spacing w:line="276" w:lineRule="auto"/>
      <w:ind w:right="1440"/>
      <w:jc w:val="both"/>
    </w:pPr>
    <w:rPr>
      <w:rFonts w:ascii="Garamond" w:hAnsi="Garamond"/>
      <w:sz w:val="22"/>
      <w:szCs w:val="22"/>
    </w:rPr>
  </w:style>
  <w:style w:type="paragraph" w:customStyle="1" w:styleId="L2para">
    <w:name w:val="L2 para"/>
    <w:basedOn w:val="MixtureParaNo"/>
    <w:link w:val="L2paraChar"/>
    <w:qFormat/>
    <w:rsid w:val="0057521D"/>
    <w:pPr>
      <w:numPr>
        <w:ilvl w:val="1"/>
      </w:numPr>
    </w:pPr>
  </w:style>
  <w:style w:type="character" w:customStyle="1" w:styleId="MixtureParaNoChar">
    <w:name w:val="Mixture Para No Char"/>
    <w:basedOn w:val="DefaultParagraphFont"/>
    <w:link w:val="MixtureParaNo"/>
    <w:rsid w:val="0057521D"/>
    <w:rPr>
      <w:rFonts w:ascii="Garamond" w:hAnsi="Garamond"/>
      <w:sz w:val="24"/>
      <w:szCs w:val="24"/>
      <w:lang w:eastAsia="en-US"/>
    </w:rPr>
  </w:style>
  <w:style w:type="character" w:customStyle="1" w:styleId="L2paraChar">
    <w:name w:val="L2 para Char"/>
    <w:basedOn w:val="MixtureParaNoChar"/>
    <w:link w:val="L2para"/>
    <w:rsid w:val="0057521D"/>
    <w:rPr>
      <w:rFonts w:ascii="Garamond" w:hAnsi="Garamond"/>
      <w:sz w:val="24"/>
      <w:szCs w:val="24"/>
      <w:lang w:eastAsia="en-US"/>
    </w:rPr>
  </w:style>
  <w:style w:type="paragraph" w:customStyle="1" w:styleId="L3para">
    <w:name w:val="L3 para"/>
    <w:basedOn w:val="L2para"/>
    <w:qFormat/>
    <w:rsid w:val="0057521D"/>
    <w:pPr>
      <w:numPr>
        <w:ilvl w:val="2"/>
      </w:numPr>
      <w:tabs>
        <w:tab w:val="clear" w:pos="2160"/>
        <w:tab w:val="clear" w:pos="2880"/>
        <w:tab w:val="num" w:pos="1492"/>
      </w:tabs>
      <w:ind w:left="1492" w:hanging="360"/>
    </w:pPr>
  </w:style>
  <w:style w:type="character" w:customStyle="1" w:styleId="VerbatimChar">
    <w:name w:val="Verbatim Char"/>
    <w:basedOn w:val="DefaultParagraphFont"/>
    <w:link w:val="SourceCode"/>
    <w:qFormat/>
    <w:rsid w:val="000A401C"/>
    <w:rPr>
      <w:rFonts w:ascii="Courier New" w:hAnsi="Courier New" w:cs="Courier New"/>
      <w:color w:val="00000A"/>
      <w:sz w:val="22"/>
      <w:szCs w:val="22"/>
    </w:rPr>
  </w:style>
  <w:style w:type="paragraph" w:customStyle="1" w:styleId="SourceCode">
    <w:name w:val="Source Code"/>
    <w:basedOn w:val="Normal"/>
    <w:link w:val="VerbatimChar"/>
    <w:qFormat/>
    <w:rsid w:val="000A401C"/>
    <w:pPr>
      <w:spacing w:after="200" w:line="480" w:lineRule="auto"/>
    </w:pPr>
    <w:rPr>
      <w:rFonts w:ascii="Courier New" w:hAnsi="Courier New" w:cs="Courier New"/>
      <w:color w:val="00000A"/>
      <w:sz w:val="22"/>
      <w:szCs w:val="22"/>
      <w:lang w:eastAsia="en-GB"/>
    </w:rPr>
  </w:style>
  <w:style w:type="paragraph" w:styleId="Revision">
    <w:name w:val="Revision"/>
    <w:hidden/>
    <w:uiPriority w:val="99"/>
    <w:semiHidden/>
    <w:rsid w:val="004B0CAD"/>
    <w:rPr>
      <w:sz w:val="24"/>
      <w:szCs w:val="24"/>
      <w:lang w:eastAsia="en-US"/>
    </w:rPr>
  </w:style>
  <w:style w:type="character" w:styleId="CommentReference">
    <w:name w:val="annotation reference"/>
    <w:basedOn w:val="DefaultParagraphFont"/>
    <w:rsid w:val="00946A07"/>
    <w:rPr>
      <w:sz w:val="16"/>
      <w:szCs w:val="16"/>
    </w:rPr>
  </w:style>
  <w:style w:type="paragraph" w:styleId="CommentText">
    <w:name w:val="annotation text"/>
    <w:basedOn w:val="Normal"/>
    <w:link w:val="CommentTextChar"/>
    <w:rsid w:val="00946A07"/>
    <w:rPr>
      <w:sz w:val="20"/>
      <w:szCs w:val="20"/>
    </w:rPr>
  </w:style>
  <w:style w:type="character" w:customStyle="1" w:styleId="CommentTextChar">
    <w:name w:val="Comment Text Char"/>
    <w:basedOn w:val="DefaultParagraphFont"/>
    <w:link w:val="CommentText"/>
    <w:rsid w:val="00946A07"/>
    <w:rPr>
      <w:lang w:eastAsia="en-US"/>
    </w:rPr>
  </w:style>
  <w:style w:type="paragraph" w:styleId="CommentSubject">
    <w:name w:val="annotation subject"/>
    <w:basedOn w:val="CommentText"/>
    <w:next w:val="CommentText"/>
    <w:link w:val="CommentSubjectChar"/>
    <w:rsid w:val="00946A07"/>
    <w:rPr>
      <w:b/>
      <w:bCs/>
    </w:rPr>
  </w:style>
  <w:style w:type="character" w:customStyle="1" w:styleId="CommentSubjectChar">
    <w:name w:val="Comment Subject Char"/>
    <w:basedOn w:val="CommentTextChar"/>
    <w:link w:val="CommentSubject"/>
    <w:rsid w:val="00946A07"/>
    <w:rPr>
      <w:b/>
      <w:bCs/>
      <w:lang w:eastAsia="en-US"/>
    </w:rPr>
  </w:style>
  <w:style w:type="paragraph" w:customStyle="1" w:styleId="pf0">
    <w:name w:val="pf0"/>
    <w:basedOn w:val="Normal"/>
    <w:rsid w:val="008948CC"/>
    <w:pPr>
      <w:spacing w:before="100" w:beforeAutospacing="1" w:after="100" w:afterAutospacing="1"/>
    </w:pPr>
    <w:rPr>
      <w:lang w:eastAsia="en-GB"/>
    </w:rPr>
  </w:style>
  <w:style w:type="character" w:customStyle="1" w:styleId="cf01">
    <w:name w:val="cf01"/>
    <w:basedOn w:val="DefaultParagraphFont"/>
    <w:rsid w:val="008948C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zy67f\OneDrive%20-%20Ministry%20of%20Justice\JudgmentTemplate\Templates\ca_judg2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21C8F-9296-47A0-83DD-D397BB0D5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ca_judg2k</Template>
  <TotalTime>9</TotalTime>
  <Pages>14</Pages>
  <Words>6300</Words>
  <Characters>35915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42131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Davidson, Linda</dc:creator>
  <cp:keywords/>
  <dc:description/>
  <cp:lastModifiedBy>Davidson, Linda</cp:lastModifiedBy>
  <cp:revision>4</cp:revision>
  <cp:lastPrinted>2026-10-15T15:37:00Z</cp:lastPrinted>
  <dcterms:created xsi:type="dcterms:W3CDTF">2026-10-15T15:36:00Z</dcterms:created>
  <dcterms:modified xsi:type="dcterms:W3CDTF">2026-10-15T15:40:00Z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Draft</vt:lpwstr>
  </property>
  <property fmtid="{D5CDD505-2E9C-101B-9397-08002B2CF9AE}" pid="7" name="NCDiv">
    <vt:lpwstr>Civ</vt:lpwstr>
  </property>
  <property fmtid="{D5CDD505-2E9C-101B-9397-08002B2CF9AE}" pid="8" name="MSIP_Label_e75f3d21-7675-47a1-a7bf-8316b405c573_Enabled">
    <vt:lpwstr>true</vt:lpwstr>
  </property>
  <property fmtid="{D5CDD505-2E9C-101B-9397-08002B2CF9AE}" pid="9" name="MSIP_Label_e75f3d21-7675-47a1-a7bf-8316b405c573_SetDate">
    <vt:lpwstr>2026-10-12T10:46:38Z</vt:lpwstr>
  </property>
  <property fmtid="{D5CDD505-2E9C-101B-9397-08002B2CF9AE}" pid="10" name="MSIP_Label_e75f3d21-7675-47a1-a7bf-8316b405c573_Method">
    <vt:lpwstr>Privileged</vt:lpwstr>
  </property>
  <property fmtid="{D5CDD505-2E9C-101B-9397-08002B2CF9AE}" pid="11" name="MSIP_Label_e75f3d21-7675-47a1-a7bf-8316b405c573_Name">
    <vt:lpwstr>NO CLASSIFICATION</vt:lpwstr>
  </property>
  <property fmtid="{D5CDD505-2E9C-101B-9397-08002B2CF9AE}" pid="12" name="MSIP_Label_e75f3d21-7675-47a1-a7bf-8316b405c573_SiteId">
    <vt:lpwstr>c6874728-71e6-41fe-a9e1-2e8c36776ad8</vt:lpwstr>
  </property>
  <property fmtid="{D5CDD505-2E9C-101B-9397-08002B2CF9AE}" pid="13" name="MSIP_Label_e75f3d21-7675-47a1-a7bf-8316b405c573_ActionId">
    <vt:lpwstr>9c427200-8b86-4320-9122-2e5f4c32f26e</vt:lpwstr>
  </property>
  <property fmtid="{D5CDD505-2E9C-101B-9397-08002B2CF9AE}" pid="14" name="MSIP_Label_e75f3d21-7675-47a1-a7bf-8316b405c573_ContentBits">
    <vt:lpwstr>0</vt:lpwstr>
  </property>
  <property fmtid="{D5CDD505-2E9C-101B-9397-08002B2CF9AE}" pid="15" name="MSIP_Label_e75f3d21-7675-47a1-a7bf-8316b405c573_Tag">
    <vt:lpwstr>10, 0, 1, 1</vt:lpwstr>
  </property>
  <property fmtid="{D5CDD505-2E9C-101B-9397-08002B2CF9AE}" pid="16" name="TextOK">
    <vt:bool>false</vt:bool>
  </property>
  <property fmtid="{D5CDD505-2E9C-101B-9397-08002B2CF9AE}" pid="17" name="HeaderOK">
    <vt:bool>true</vt:bool>
  </property>
  <property fmtid="{D5CDD505-2E9C-101B-9397-08002B2CF9AE}" pid="18" name="CrestOK">
    <vt:bool>true</vt:bool>
  </property>
  <property fmtid="{D5CDD505-2E9C-101B-9397-08002B2CF9AE}" pid="19" name="FooterOK">
    <vt:bool>true</vt:bool>
  </property>
</Properties>
</file>